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73" w:rsidRPr="00830B8A" w:rsidRDefault="00325273" w:rsidP="00830B8A">
      <w:pPr>
        <w:jc w:val="center"/>
        <w:rPr>
          <w:b/>
          <w:sz w:val="28"/>
          <w:szCs w:val="28"/>
        </w:rPr>
      </w:pPr>
      <w:r w:rsidRPr="00830B8A">
        <w:rPr>
          <w:b/>
          <w:sz w:val="28"/>
          <w:szCs w:val="28"/>
        </w:rPr>
        <w:t xml:space="preserve">Pathogens and toxins </w:t>
      </w:r>
      <w:proofErr w:type="gramStart"/>
      <w:r w:rsidRPr="00830B8A">
        <w:rPr>
          <w:b/>
          <w:sz w:val="28"/>
          <w:szCs w:val="28"/>
        </w:rPr>
        <w:t>that are</w:t>
      </w:r>
      <w:proofErr w:type="gramEnd"/>
      <w:r w:rsidRPr="00830B8A">
        <w:rPr>
          <w:b/>
          <w:sz w:val="28"/>
          <w:szCs w:val="28"/>
        </w:rPr>
        <w:t xml:space="preserve"> notifiable to the National Counter Terrorism Security Office</w:t>
      </w:r>
    </w:p>
    <w:p w:rsidR="00325273" w:rsidRPr="0033179E" w:rsidRDefault="00325273" w:rsidP="0033179E">
      <w:pPr>
        <w:jc w:val="center"/>
        <w:rPr>
          <w:b/>
        </w:rPr>
      </w:pPr>
      <w:r w:rsidRPr="00830B8A">
        <w:rPr>
          <w:b/>
        </w:rPr>
        <w:t>(The Anti-Terrorism, Crime and Security Act 2001)</w:t>
      </w:r>
    </w:p>
    <w:p w:rsidR="00325273" w:rsidRPr="0033179E" w:rsidRDefault="00325273" w:rsidP="00325273">
      <w:pPr>
        <w:rPr>
          <w:b/>
        </w:rPr>
      </w:pPr>
      <w:r w:rsidRPr="0033179E">
        <w:rPr>
          <w:b/>
        </w:rPr>
        <w:t>Introduction</w:t>
      </w:r>
    </w:p>
    <w:p w:rsidR="00325273" w:rsidRDefault="00325273" w:rsidP="00325273">
      <w:r>
        <w:t>The purpose of the Anti-terrorism Crime and Security Act is to help ensure that Governments have, in the light of terrorist attacks, the necessary powers to counter the threat to the UK. Part 7 and Schedules 5 and 6 of the Act places an obligation on managers of laboratories and other premises holding stocks of specified disease-causing micro-organisms and toxins (listed in Schedule 5) to notify their holdings, and to comply with any reasonable security requirements which Counter Terrorism Security Advisors (CTSA), based in the local police force, may impose. It also requires managers of laboratories and other premises, on request, to provide details of people with access to the dangerous substances held there. The Secretary of State is given power to direct that a named individual must not be allowed access to such disease strains or the premises in which they are held.</w:t>
      </w:r>
    </w:p>
    <w:p w:rsidR="00FD3823" w:rsidRPr="0033179E" w:rsidRDefault="00FD3823" w:rsidP="00325273">
      <w:pPr>
        <w:rPr>
          <w:b/>
        </w:rPr>
      </w:pPr>
      <w:r w:rsidRPr="0033179E">
        <w:rPr>
          <w:b/>
        </w:rPr>
        <w:t>Responsibilities</w:t>
      </w:r>
    </w:p>
    <w:p w:rsidR="00325273" w:rsidRDefault="00325273" w:rsidP="00325273">
      <w:r>
        <w:t xml:space="preserve">The Safety Service audits Schools on their holdings and liaises with the </w:t>
      </w:r>
      <w:r w:rsidRPr="00325273">
        <w:t>National Counter Terrorism Security Office</w:t>
      </w:r>
      <w:r>
        <w:t xml:space="preserve"> </w:t>
      </w:r>
      <w:r w:rsidR="00944A26">
        <w:t>(</w:t>
      </w:r>
      <w:r w:rsidR="00944A26" w:rsidRPr="00944A26">
        <w:t>NaCTSO</w:t>
      </w:r>
      <w:r w:rsidR="00944A26">
        <w:t xml:space="preserve">) </w:t>
      </w:r>
      <w:r>
        <w:t xml:space="preserve">and local </w:t>
      </w:r>
      <w:r w:rsidRPr="00325273">
        <w:t>Counter Terrorism Security Advisors</w:t>
      </w:r>
      <w:r>
        <w:t xml:space="preserve"> regarding work with and the secure design of premises holding scheduled material. Principal Investigators should contact </w:t>
      </w:r>
      <w:r w:rsidR="00944A26">
        <w:t>the University Biological Safety Officer</w:t>
      </w:r>
      <w:r>
        <w:t xml:space="preserve"> before using any material on this list (so that the premises can be inspected and NaCTSO notified) or when any information previously given changes.</w:t>
      </w:r>
    </w:p>
    <w:p w:rsidR="00FD3823" w:rsidRPr="0033179E" w:rsidRDefault="00FD3823" w:rsidP="00325273">
      <w:pPr>
        <w:rPr>
          <w:b/>
        </w:rPr>
      </w:pPr>
      <w:r w:rsidRPr="0033179E">
        <w:rPr>
          <w:b/>
        </w:rPr>
        <w:t>Pathogens and Toxins covered by the Act</w:t>
      </w:r>
    </w:p>
    <w:p w:rsidR="00D3599B" w:rsidRDefault="00D3599B" w:rsidP="00D3599B">
      <w:proofErr w:type="gramStart"/>
      <w:r>
        <w:t>References to micro-organisms on the list includes</w:t>
      </w:r>
      <w:proofErr w:type="gramEnd"/>
      <w:r>
        <w:t>:</w:t>
      </w:r>
    </w:p>
    <w:p w:rsidR="00D3599B" w:rsidRDefault="00D3599B" w:rsidP="00D3599B">
      <w:r>
        <w:t>• intact micro-organisms</w:t>
      </w:r>
      <w:r>
        <w:br/>
        <w:t>• micro-organisms which have been genetically modified by any means, but retain the ability to cause serious harm to human or animal health</w:t>
      </w:r>
      <w:r>
        <w:br/>
        <w:t>• any nucleic acid deriving from a micro-organism listed in this Schedule (synthetic or naturally derived, contiguous or fragmented, in host chromosomes or in expression vectors) that can encode infectious or replication competent forms of any of the listed micro-organisms</w:t>
      </w:r>
      <w:r>
        <w:br/>
        <w:t>• any nucleic acid sequence derived from the micro-organism which when inserted into any other living organism alters or enhances that organisms ability to cause serious harm to human or animal health.</w:t>
      </w:r>
    </w:p>
    <w:p w:rsidR="00D3599B" w:rsidRDefault="00D3599B" w:rsidP="00D3599B">
      <w:proofErr w:type="gramStart"/>
      <w:r>
        <w:t>References to toxins on the list includes</w:t>
      </w:r>
      <w:proofErr w:type="gramEnd"/>
      <w:r>
        <w:t>:</w:t>
      </w:r>
    </w:p>
    <w:p w:rsidR="00D3599B" w:rsidRDefault="00D3599B" w:rsidP="00D3599B">
      <w:r>
        <w:t xml:space="preserve">• </w:t>
      </w:r>
      <w:proofErr w:type="gramStart"/>
      <w:r>
        <w:t>any</w:t>
      </w:r>
      <w:proofErr w:type="gramEnd"/>
      <w:r>
        <w:t xml:space="preserve"> nucleic acid sequence coding for the toxin</w:t>
      </w:r>
      <w:r>
        <w:br/>
        <w:t>• any genetically modified organism containing any such sequence.</w:t>
      </w:r>
    </w:p>
    <w:p w:rsidR="00D3599B" w:rsidRDefault="00D3599B" w:rsidP="00D3599B">
      <w:proofErr w:type="gramStart"/>
      <w:r>
        <w:t>References to toxins on the list excludes</w:t>
      </w:r>
      <w:proofErr w:type="gramEnd"/>
      <w:r>
        <w:t>:</w:t>
      </w:r>
    </w:p>
    <w:p w:rsidR="00D3599B" w:rsidRDefault="00D3599B" w:rsidP="00D3599B">
      <w:r>
        <w:t xml:space="preserve">• </w:t>
      </w:r>
      <w:proofErr w:type="gramStart"/>
      <w:r>
        <w:t>any</w:t>
      </w:r>
      <w:proofErr w:type="gramEnd"/>
      <w:r>
        <w:t xml:space="preserve"> non-toxigenic subunit.</w:t>
      </w:r>
    </w:p>
    <w:p w:rsidR="00B6665C" w:rsidRDefault="00B6665C" w:rsidP="00D3599B"/>
    <w:p w:rsidR="00A41FA9" w:rsidRDefault="00A41FA9" w:rsidP="00D3599B"/>
    <w:tbl>
      <w:tblPr>
        <w:tblStyle w:val="TableGrid"/>
        <w:tblW w:w="0" w:type="auto"/>
        <w:tblLook w:val="04A0" w:firstRow="1" w:lastRow="0" w:firstColumn="1" w:lastColumn="0" w:noHBand="0" w:noVBand="1"/>
      </w:tblPr>
      <w:tblGrid>
        <w:gridCol w:w="7447"/>
        <w:gridCol w:w="1795"/>
      </w:tblGrid>
      <w:tr w:rsidR="00847E58" w:rsidTr="00BF2017">
        <w:tc>
          <w:tcPr>
            <w:tcW w:w="9242" w:type="dxa"/>
            <w:gridSpan w:val="2"/>
            <w:tcBorders>
              <w:bottom w:val="single" w:sz="4" w:space="0" w:color="auto"/>
            </w:tcBorders>
            <w:shd w:val="pct10" w:color="auto" w:fill="auto"/>
          </w:tcPr>
          <w:p w:rsidR="00847E58" w:rsidRPr="00311D61" w:rsidRDefault="00847E58" w:rsidP="00D3599B">
            <w:pPr>
              <w:rPr>
                <w:b/>
                <w:sz w:val="28"/>
                <w:szCs w:val="28"/>
              </w:rPr>
            </w:pPr>
            <w:r w:rsidRPr="00311D61">
              <w:rPr>
                <w:b/>
                <w:sz w:val="28"/>
                <w:szCs w:val="28"/>
              </w:rPr>
              <w:t>List of specified pathogens grouped according to type of agent</w:t>
            </w:r>
          </w:p>
        </w:tc>
      </w:tr>
      <w:tr w:rsidR="00311D61" w:rsidTr="00073130">
        <w:tc>
          <w:tcPr>
            <w:tcW w:w="7437" w:type="dxa"/>
            <w:shd w:val="clear" w:color="auto" w:fill="auto"/>
          </w:tcPr>
          <w:p w:rsidR="00311D61" w:rsidRPr="00FA1BDA" w:rsidRDefault="00311D61" w:rsidP="00D3599B">
            <w:pPr>
              <w:rPr>
                <w:b/>
              </w:rPr>
            </w:pPr>
          </w:p>
        </w:tc>
        <w:tc>
          <w:tcPr>
            <w:tcW w:w="1805" w:type="dxa"/>
            <w:shd w:val="clear" w:color="auto" w:fill="auto"/>
          </w:tcPr>
          <w:p w:rsidR="00311D61" w:rsidRPr="00847E58" w:rsidRDefault="00311D61" w:rsidP="00D3599B"/>
        </w:tc>
      </w:tr>
      <w:tr w:rsidR="00A41FA9" w:rsidTr="00073130">
        <w:tc>
          <w:tcPr>
            <w:tcW w:w="7437" w:type="dxa"/>
            <w:shd w:val="pct10" w:color="auto" w:fill="auto"/>
          </w:tcPr>
          <w:p w:rsidR="00A41FA9" w:rsidRPr="00FA1BDA" w:rsidRDefault="00847E58" w:rsidP="00D3599B">
            <w:pPr>
              <w:rPr>
                <w:b/>
              </w:rPr>
            </w:pPr>
            <w:r w:rsidRPr="00FA1BDA">
              <w:rPr>
                <w:b/>
              </w:rPr>
              <w:t>Viruses</w:t>
            </w:r>
          </w:p>
        </w:tc>
        <w:tc>
          <w:tcPr>
            <w:tcW w:w="1805" w:type="dxa"/>
            <w:shd w:val="pct10" w:color="auto" w:fill="auto"/>
          </w:tcPr>
          <w:p w:rsidR="00A41FA9" w:rsidRDefault="00847E58" w:rsidP="00D3599B">
            <w:r w:rsidRPr="00847E58">
              <w:t>ACDP Hazard Group</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Chikungunya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Congo-</w:t>
            </w:r>
            <w:proofErr w:type="spellStart"/>
            <w:r w:rsidRPr="00B6665C">
              <w:rPr>
                <w:rFonts w:ascii="Arial" w:hAnsi="Arial" w:cs="Arial"/>
                <w:color w:val="000000"/>
                <w:sz w:val="20"/>
                <w:szCs w:val="20"/>
              </w:rPr>
              <w:t>crimean</w:t>
            </w:r>
            <w:proofErr w:type="spellEnd"/>
            <w:r w:rsidRPr="00B6665C">
              <w:rPr>
                <w:rFonts w:ascii="Arial" w:hAnsi="Arial" w:cs="Arial"/>
                <w:color w:val="000000"/>
                <w:sz w:val="20"/>
                <w:szCs w:val="20"/>
              </w:rPr>
              <w:t xml:space="preserve"> haemorrhagic fever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Dengue fever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Dobrava</w:t>
            </w:r>
            <w:proofErr w:type="spellEnd"/>
            <w:r w:rsidRPr="00B6665C">
              <w:rPr>
                <w:rFonts w:ascii="Arial" w:hAnsi="Arial" w:cs="Arial"/>
                <w:color w:val="000000"/>
                <w:sz w:val="20"/>
                <w:szCs w:val="20"/>
              </w:rPr>
              <w:t xml:space="preserve">/Belgrade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Eastern equine encephalitis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Ebola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Everglades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Getah</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Guanarito</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Hantaan</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Hendra virus (Equine morbillivirus)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Herpes </w:t>
            </w:r>
            <w:proofErr w:type="spellStart"/>
            <w:r w:rsidRPr="00B6665C">
              <w:rPr>
                <w:rFonts w:ascii="Arial" w:hAnsi="Arial" w:cs="Arial"/>
                <w:color w:val="000000"/>
                <w:sz w:val="20"/>
                <w:szCs w:val="20"/>
              </w:rPr>
              <w:t>simiae</w:t>
            </w:r>
            <w:proofErr w:type="spellEnd"/>
            <w:r w:rsidRPr="00B6665C">
              <w:rPr>
                <w:rFonts w:ascii="Arial" w:hAnsi="Arial" w:cs="Arial"/>
                <w:color w:val="000000"/>
                <w:sz w:val="20"/>
                <w:szCs w:val="20"/>
              </w:rPr>
              <w:t xml:space="preserve"> (B)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Influenza virus (pandemic strains and highly pathogenic avian strains)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Japanese encephalitis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Junin</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Kyasanur</w:t>
            </w:r>
            <w:proofErr w:type="spellEnd"/>
            <w:r w:rsidRPr="00B6665C">
              <w:rPr>
                <w:rFonts w:ascii="Arial" w:hAnsi="Arial" w:cs="Arial"/>
                <w:color w:val="000000"/>
                <w:sz w:val="20"/>
                <w:szCs w:val="20"/>
              </w:rPr>
              <w:t xml:space="preserve"> Forest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Lassa fever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Louping</w:t>
            </w:r>
            <w:proofErr w:type="spellEnd"/>
            <w:r w:rsidRPr="00B6665C">
              <w:rPr>
                <w:rFonts w:ascii="Arial" w:hAnsi="Arial" w:cs="Arial"/>
                <w:color w:val="000000"/>
                <w:sz w:val="20"/>
                <w:szCs w:val="20"/>
              </w:rPr>
              <w:t xml:space="preserve"> ill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Lymphocytic </w:t>
            </w:r>
            <w:proofErr w:type="spellStart"/>
            <w:r w:rsidRPr="00B6665C">
              <w:rPr>
                <w:rFonts w:ascii="Arial" w:hAnsi="Arial" w:cs="Arial"/>
                <w:color w:val="000000"/>
                <w:sz w:val="20"/>
                <w:szCs w:val="20"/>
              </w:rPr>
              <w:t>choriomeningitis</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Machupo</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Marburg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Mayaro</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Middleburg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Mobala</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Monkey pox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Mucambo</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Murray Valley encephalitis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Ndumu</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Newcastle disease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2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Nipah</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Omsk haemorrhagic fever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Polio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2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Powassan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Rabies and rabies-related Lyssaviruses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Rift Valley fever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Rocio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Sabia</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proofErr w:type="spellStart"/>
            <w:r w:rsidRPr="00B6665C">
              <w:rPr>
                <w:rFonts w:ascii="Arial" w:hAnsi="Arial" w:cs="Arial"/>
                <w:color w:val="000000"/>
                <w:sz w:val="20"/>
                <w:szCs w:val="20"/>
              </w:rPr>
              <w:t>Sagiyama</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SARS Coronavirus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Sin </w:t>
            </w:r>
            <w:proofErr w:type="spellStart"/>
            <w:r w:rsidRPr="00B6665C">
              <w:rPr>
                <w:rFonts w:ascii="Arial" w:hAnsi="Arial" w:cs="Arial"/>
                <w:color w:val="000000"/>
                <w:sz w:val="20"/>
                <w:szCs w:val="20"/>
              </w:rPr>
              <w:t>Nombre</w:t>
            </w:r>
            <w:proofErr w:type="spellEnd"/>
            <w:r w:rsidRPr="00B6665C">
              <w:rPr>
                <w:rFonts w:ascii="Arial" w:hAnsi="Arial" w:cs="Arial"/>
                <w:color w:val="000000"/>
                <w:sz w:val="20"/>
                <w:szCs w:val="20"/>
              </w:rPr>
              <w:t xml:space="preserve">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St Louis encephalitis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3 </w:t>
            </w:r>
          </w:p>
        </w:tc>
      </w:tr>
      <w:tr w:rsidR="000C431A" w:rsidTr="00073130">
        <w:tc>
          <w:tcPr>
            <w:tcW w:w="7437"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Tick-borne encephalitis virus (Russian Spring-Summer encephalitis virus) </w:t>
            </w:r>
          </w:p>
        </w:tc>
        <w:tc>
          <w:tcPr>
            <w:tcW w:w="1805" w:type="dxa"/>
          </w:tcPr>
          <w:p w:rsidR="000C431A" w:rsidRPr="00B6665C" w:rsidRDefault="000C431A" w:rsidP="00037333">
            <w:pPr>
              <w:autoSpaceDE w:val="0"/>
              <w:autoSpaceDN w:val="0"/>
              <w:adjustRightInd w:val="0"/>
              <w:rPr>
                <w:rFonts w:ascii="Arial" w:hAnsi="Arial" w:cs="Arial"/>
                <w:color w:val="000000"/>
                <w:sz w:val="20"/>
                <w:szCs w:val="20"/>
              </w:rPr>
            </w:pPr>
            <w:r w:rsidRPr="00B6665C">
              <w:rPr>
                <w:rFonts w:ascii="Arial" w:hAnsi="Arial" w:cs="Arial"/>
                <w:color w:val="000000"/>
                <w:sz w:val="20"/>
                <w:szCs w:val="20"/>
              </w:rPr>
              <w:t xml:space="preserve">4 </w:t>
            </w:r>
          </w:p>
        </w:tc>
      </w:tr>
      <w:tr w:rsidR="000C431A" w:rsidTr="00073130">
        <w:tc>
          <w:tcPr>
            <w:tcW w:w="7437" w:type="dxa"/>
          </w:tcPr>
          <w:p w:rsidR="000C431A" w:rsidRDefault="000C431A" w:rsidP="00037333">
            <w:pPr>
              <w:pStyle w:val="Default"/>
              <w:rPr>
                <w:sz w:val="20"/>
                <w:szCs w:val="20"/>
              </w:rPr>
            </w:pPr>
            <w:proofErr w:type="spellStart"/>
            <w:r>
              <w:rPr>
                <w:sz w:val="20"/>
                <w:szCs w:val="20"/>
              </w:rPr>
              <w:t>Variola</w:t>
            </w:r>
            <w:proofErr w:type="spellEnd"/>
            <w:r>
              <w:rPr>
                <w:sz w:val="20"/>
                <w:szCs w:val="20"/>
              </w:rPr>
              <w:t xml:space="preserve"> virus </w:t>
            </w:r>
          </w:p>
        </w:tc>
        <w:tc>
          <w:tcPr>
            <w:tcW w:w="1805" w:type="dxa"/>
          </w:tcPr>
          <w:p w:rsidR="000C431A" w:rsidRDefault="000C431A" w:rsidP="00037333">
            <w:pPr>
              <w:pStyle w:val="Default"/>
              <w:rPr>
                <w:sz w:val="20"/>
                <w:szCs w:val="20"/>
              </w:rPr>
            </w:pPr>
            <w:r>
              <w:rPr>
                <w:sz w:val="20"/>
                <w:szCs w:val="20"/>
              </w:rPr>
              <w:t xml:space="preserve">4 </w:t>
            </w:r>
          </w:p>
        </w:tc>
      </w:tr>
      <w:tr w:rsidR="000C431A" w:rsidTr="00073130">
        <w:tc>
          <w:tcPr>
            <w:tcW w:w="7437" w:type="dxa"/>
          </w:tcPr>
          <w:p w:rsidR="000C431A" w:rsidRDefault="000C431A" w:rsidP="00037333">
            <w:pPr>
              <w:pStyle w:val="Default"/>
              <w:rPr>
                <w:sz w:val="20"/>
                <w:szCs w:val="20"/>
              </w:rPr>
            </w:pPr>
            <w:r>
              <w:rPr>
                <w:sz w:val="20"/>
                <w:szCs w:val="20"/>
              </w:rPr>
              <w:t xml:space="preserve">Venezuelan equine encephalitis virus </w:t>
            </w:r>
          </w:p>
        </w:tc>
        <w:tc>
          <w:tcPr>
            <w:tcW w:w="1805" w:type="dxa"/>
          </w:tcPr>
          <w:p w:rsidR="000C431A" w:rsidRDefault="000C431A" w:rsidP="00037333">
            <w:pPr>
              <w:pStyle w:val="Default"/>
              <w:rPr>
                <w:sz w:val="20"/>
                <w:szCs w:val="20"/>
              </w:rPr>
            </w:pPr>
            <w:r>
              <w:rPr>
                <w:sz w:val="20"/>
                <w:szCs w:val="20"/>
              </w:rPr>
              <w:t xml:space="preserve">3 </w:t>
            </w:r>
          </w:p>
        </w:tc>
      </w:tr>
      <w:tr w:rsidR="000C431A" w:rsidTr="00073130">
        <w:tc>
          <w:tcPr>
            <w:tcW w:w="7437" w:type="dxa"/>
          </w:tcPr>
          <w:p w:rsidR="000C431A" w:rsidRDefault="000C431A" w:rsidP="00037333">
            <w:pPr>
              <w:pStyle w:val="Default"/>
              <w:rPr>
                <w:sz w:val="20"/>
                <w:szCs w:val="20"/>
              </w:rPr>
            </w:pPr>
            <w:r>
              <w:rPr>
                <w:sz w:val="20"/>
                <w:szCs w:val="20"/>
              </w:rPr>
              <w:t xml:space="preserve">Vesicular stomatitis virus </w:t>
            </w:r>
          </w:p>
        </w:tc>
        <w:tc>
          <w:tcPr>
            <w:tcW w:w="1805" w:type="dxa"/>
          </w:tcPr>
          <w:p w:rsidR="000C431A" w:rsidRDefault="000C431A" w:rsidP="00037333">
            <w:pPr>
              <w:pStyle w:val="Default"/>
              <w:rPr>
                <w:sz w:val="20"/>
                <w:szCs w:val="20"/>
              </w:rPr>
            </w:pPr>
            <w:r>
              <w:rPr>
                <w:sz w:val="20"/>
                <w:szCs w:val="20"/>
              </w:rPr>
              <w:t xml:space="preserve">2 </w:t>
            </w:r>
          </w:p>
        </w:tc>
      </w:tr>
      <w:tr w:rsidR="000C431A" w:rsidTr="00073130">
        <w:tc>
          <w:tcPr>
            <w:tcW w:w="7437" w:type="dxa"/>
          </w:tcPr>
          <w:p w:rsidR="000C431A" w:rsidRDefault="000C431A" w:rsidP="00037333">
            <w:pPr>
              <w:pStyle w:val="Default"/>
              <w:rPr>
                <w:sz w:val="20"/>
                <w:szCs w:val="20"/>
              </w:rPr>
            </w:pPr>
            <w:r>
              <w:rPr>
                <w:sz w:val="20"/>
                <w:szCs w:val="20"/>
              </w:rPr>
              <w:t xml:space="preserve">West Nile fever virus </w:t>
            </w:r>
          </w:p>
        </w:tc>
        <w:tc>
          <w:tcPr>
            <w:tcW w:w="1805" w:type="dxa"/>
          </w:tcPr>
          <w:p w:rsidR="000C431A" w:rsidRDefault="000C431A" w:rsidP="00037333">
            <w:pPr>
              <w:pStyle w:val="Default"/>
              <w:rPr>
                <w:sz w:val="20"/>
                <w:szCs w:val="20"/>
              </w:rPr>
            </w:pPr>
            <w:r>
              <w:rPr>
                <w:sz w:val="20"/>
                <w:szCs w:val="20"/>
              </w:rPr>
              <w:t xml:space="preserve">3 </w:t>
            </w:r>
          </w:p>
        </w:tc>
      </w:tr>
      <w:tr w:rsidR="000C431A" w:rsidTr="00073130">
        <w:tc>
          <w:tcPr>
            <w:tcW w:w="7437" w:type="dxa"/>
          </w:tcPr>
          <w:p w:rsidR="000C431A" w:rsidRDefault="000C431A" w:rsidP="00037333">
            <w:pPr>
              <w:pStyle w:val="Default"/>
              <w:rPr>
                <w:sz w:val="20"/>
                <w:szCs w:val="20"/>
              </w:rPr>
            </w:pPr>
            <w:r>
              <w:rPr>
                <w:sz w:val="20"/>
                <w:szCs w:val="20"/>
              </w:rPr>
              <w:t xml:space="preserve">Western equine encephalitis virus </w:t>
            </w:r>
          </w:p>
        </w:tc>
        <w:tc>
          <w:tcPr>
            <w:tcW w:w="1805" w:type="dxa"/>
          </w:tcPr>
          <w:p w:rsidR="000C431A" w:rsidRDefault="000C431A" w:rsidP="00037333">
            <w:pPr>
              <w:pStyle w:val="Default"/>
              <w:rPr>
                <w:sz w:val="20"/>
                <w:szCs w:val="20"/>
              </w:rPr>
            </w:pPr>
            <w:r>
              <w:rPr>
                <w:sz w:val="20"/>
                <w:szCs w:val="20"/>
              </w:rPr>
              <w:t xml:space="preserve">3 </w:t>
            </w:r>
          </w:p>
        </w:tc>
      </w:tr>
      <w:tr w:rsidR="000C431A" w:rsidTr="00073130">
        <w:tc>
          <w:tcPr>
            <w:tcW w:w="7437" w:type="dxa"/>
          </w:tcPr>
          <w:p w:rsidR="000C431A" w:rsidRDefault="000C431A" w:rsidP="00037333">
            <w:pPr>
              <w:pStyle w:val="Default"/>
              <w:rPr>
                <w:sz w:val="20"/>
                <w:szCs w:val="20"/>
              </w:rPr>
            </w:pPr>
            <w:r>
              <w:rPr>
                <w:sz w:val="20"/>
                <w:szCs w:val="20"/>
              </w:rPr>
              <w:t xml:space="preserve">Yellow fever virus </w:t>
            </w:r>
          </w:p>
        </w:tc>
        <w:tc>
          <w:tcPr>
            <w:tcW w:w="1805" w:type="dxa"/>
          </w:tcPr>
          <w:p w:rsidR="000C431A" w:rsidRDefault="000C431A" w:rsidP="00037333">
            <w:pPr>
              <w:pStyle w:val="Default"/>
              <w:rPr>
                <w:sz w:val="20"/>
                <w:szCs w:val="20"/>
              </w:rPr>
            </w:pPr>
            <w:r>
              <w:rPr>
                <w:sz w:val="20"/>
                <w:szCs w:val="20"/>
              </w:rPr>
              <w:t xml:space="preserve">3 </w:t>
            </w:r>
          </w:p>
        </w:tc>
      </w:tr>
      <w:tr w:rsidR="000C431A" w:rsidTr="00073130">
        <w:tc>
          <w:tcPr>
            <w:tcW w:w="7437" w:type="dxa"/>
            <w:tcBorders>
              <w:bottom w:val="single" w:sz="4" w:space="0" w:color="auto"/>
            </w:tcBorders>
          </w:tcPr>
          <w:p w:rsidR="000C431A" w:rsidRDefault="000C431A" w:rsidP="00D3599B"/>
        </w:tc>
        <w:tc>
          <w:tcPr>
            <w:tcW w:w="1805" w:type="dxa"/>
            <w:tcBorders>
              <w:bottom w:val="single" w:sz="4" w:space="0" w:color="auto"/>
            </w:tcBorders>
          </w:tcPr>
          <w:p w:rsidR="000C431A" w:rsidRDefault="000C431A" w:rsidP="00D3599B"/>
        </w:tc>
      </w:tr>
      <w:tr w:rsidR="000C431A" w:rsidTr="00073130">
        <w:tc>
          <w:tcPr>
            <w:tcW w:w="7437" w:type="dxa"/>
            <w:shd w:val="pct10" w:color="auto" w:fill="auto"/>
          </w:tcPr>
          <w:p w:rsidR="000C431A" w:rsidRPr="00FA1BDA" w:rsidRDefault="000C431A" w:rsidP="00D3599B">
            <w:pPr>
              <w:rPr>
                <w:b/>
              </w:rPr>
            </w:pPr>
            <w:r w:rsidRPr="00FA1BDA">
              <w:rPr>
                <w:b/>
              </w:rPr>
              <w:t>Bacteria</w:t>
            </w:r>
          </w:p>
        </w:tc>
        <w:tc>
          <w:tcPr>
            <w:tcW w:w="1805" w:type="dxa"/>
            <w:shd w:val="pct10" w:color="auto" w:fill="auto"/>
          </w:tcPr>
          <w:p w:rsidR="000C431A" w:rsidRDefault="000C431A" w:rsidP="00D3599B">
            <w:r w:rsidRPr="00FA1BDA">
              <w:t xml:space="preserve">ACDP Hazard </w:t>
            </w:r>
            <w:r w:rsidRPr="00FA1BDA">
              <w:lastRenderedPageBreak/>
              <w:t>Group</w:t>
            </w:r>
          </w:p>
        </w:tc>
      </w:tr>
      <w:tr w:rsidR="00F554BD" w:rsidRPr="00F554BD" w:rsidTr="00BF2017">
        <w:trPr>
          <w:trHeight w:val="132"/>
        </w:trPr>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lastRenderedPageBreak/>
              <w:t xml:space="preserve">Bacillus anthracis </w:t>
            </w:r>
          </w:p>
        </w:tc>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t xml:space="preserve">3 </w:t>
            </w:r>
          </w:p>
        </w:tc>
      </w:tr>
      <w:tr w:rsidR="00F554BD" w:rsidRPr="00F554BD" w:rsidTr="00BF2017">
        <w:trPr>
          <w:trHeight w:val="132"/>
        </w:trPr>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t xml:space="preserve">Brucella </w:t>
            </w:r>
            <w:proofErr w:type="spellStart"/>
            <w:r w:rsidRPr="00F554BD">
              <w:rPr>
                <w:rFonts w:ascii="Arial" w:hAnsi="Arial" w:cs="Arial"/>
                <w:color w:val="000000"/>
                <w:sz w:val="20"/>
                <w:szCs w:val="20"/>
              </w:rPr>
              <w:t>abortus</w:t>
            </w:r>
            <w:proofErr w:type="spellEnd"/>
            <w:r w:rsidRPr="00F554BD">
              <w:rPr>
                <w:rFonts w:ascii="Arial" w:hAnsi="Arial" w:cs="Arial"/>
                <w:color w:val="000000"/>
                <w:sz w:val="20"/>
                <w:szCs w:val="20"/>
              </w:rPr>
              <w:t xml:space="preserve"> </w:t>
            </w:r>
          </w:p>
        </w:tc>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t xml:space="preserve">3 </w:t>
            </w:r>
          </w:p>
        </w:tc>
      </w:tr>
      <w:tr w:rsidR="00F554BD" w:rsidRPr="00F554BD" w:rsidTr="00BF2017">
        <w:trPr>
          <w:trHeight w:val="132"/>
        </w:trPr>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t xml:space="preserve">Brucella </w:t>
            </w:r>
            <w:proofErr w:type="spellStart"/>
            <w:r w:rsidRPr="00F554BD">
              <w:rPr>
                <w:rFonts w:ascii="Arial" w:hAnsi="Arial" w:cs="Arial"/>
                <w:color w:val="000000"/>
                <w:sz w:val="20"/>
                <w:szCs w:val="20"/>
              </w:rPr>
              <w:t>canis</w:t>
            </w:r>
            <w:proofErr w:type="spellEnd"/>
            <w:r w:rsidRPr="00F554BD">
              <w:rPr>
                <w:rFonts w:ascii="Arial" w:hAnsi="Arial" w:cs="Arial"/>
                <w:color w:val="000000"/>
                <w:sz w:val="20"/>
                <w:szCs w:val="20"/>
              </w:rPr>
              <w:t xml:space="preserve"> </w:t>
            </w:r>
          </w:p>
        </w:tc>
        <w:tc>
          <w:tcPr>
            <w:tcW w:w="0" w:type="auto"/>
          </w:tcPr>
          <w:p w:rsidR="00F554BD" w:rsidRPr="00F554BD" w:rsidRDefault="00F554BD" w:rsidP="00F554BD">
            <w:pPr>
              <w:autoSpaceDE w:val="0"/>
              <w:autoSpaceDN w:val="0"/>
              <w:adjustRightInd w:val="0"/>
              <w:rPr>
                <w:rFonts w:ascii="Arial" w:hAnsi="Arial" w:cs="Arial"/>
                <w:color w:val="000000"/>
                <w:sz w:val="20"/>
                <w:szCs w:val="20"/>
              </w:rPr>
            </w:pPr>
            <w:r w:rsidRPr="00F554BD">
              <w:rPr>
                <w:rFonts w:ascii="Arial" w:hAnsi="Arial" w:cs="Arial"/>
                <w:color w:val="000000"/>
                <w:sz w:val="20"/>
                <w:szCs w:val="20"/>
              </w:rPr>
              <w:t>3</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Brucella </w:t>
            </w:r>
            <w:proofErr w:type="spellStart"/>
            <w:r w:rsidRPr="003F10EE">
              <w:rPr>
                <w:rFonts w:ascii="Arial" w:hAnsi="Arial" w:cs="Arial"/>
                <w:color w:val="000000"/>
                <w:sz w:val="20"/>
                <w:szCs w:val="20"/>
              </w:rPr>
              <w:t>melitensis</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Brucella </w:t>
            </w:r>
            <w:proofErr w:type="spellStart"/>
            <w:r w:rsidRPr="003F10EE">
              <w:rPr>
                <w:rFonts w:ascii="Arial" w:hAnsi="Arial" w:cs="Arial"/>
                <w:color w:val="000000"/>
                <w:sz w:val="20"/>
                <w:szCs w:val="20"/>
              </w:rPr>
              <w:t>suis</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Burkholderia</w:t>
            </w:r>
            <w:proofErr w:type="spellEnd"/>
            <w:r w:rsidRPr="003F10EE">
              <w:rPr>
                <w:rFonts w:ascii="Arial" w:hAnsi="Arial" w:cs="Arial"/>
                <w:color w:val="000000"/>
                <w:sz w:val="20"/>
                <w:szCs w:val="20"/>
              </w:rPr>
              <w:t xml:space="preserve"> mallei (Pseudomonas mallei)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Burkholderia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pseudomallei</w:t>
            </w:r>
            <w:proofErr w:type="spellEnd"/>
            <w:r w:rsidRPr="003F10EE">
              <w:rPr>
                <w:rFonts w:ascii="Arial" w:hAnsi="Arial" w:cs="Arial"/>
                <w:color w:val="000000"/>
                <w:sz w:val="20"/>
                <w:szCs w:val="20"/>
              </w:rPr>
              <w:t xml:space="preserve"> (Pseudomonas </w:t>
            </w:r>
            <w:proofErr w:type="spellStart"/>
            <w:r w:rsidRPr="003F10EE">
              <w:rPr>
                <w:rFonts w:ascii="Arial" w:hAnsi="Arial" w:cs="Arial"/>
                <w:color w:val="000000"/>
                <w:sz w:val="20"/>
                <w:szCs w:val="20"/>
              </w:rPr>
              <w:t>pseudomallei</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Chlamydia </w:t>
            </w:r>
            <w:proofErr w:type="spellStart"/>
            <w:r w:rsidRPr="003F10EE">
              <w:rPr>
                <w:rFonts w:ascii="Arial" w:hAnsi="Arial" w:cs="Arial"/>
                <w:color w:val="000000"/>
                <w:sz w:val="20"/>
                <w:szCs w:val="20"/>
              </w:rPr>
              <w:t>psittaci</w:t>
            </w:r>
            <w:proofErr w:type="spellEnd"/>
            <w:r w:rsidRPr="003F10EE">
              <w:rPr>
                <w:rFonts w:ascii="Arial" w:hAnsi="Arial" w:cs="Arial"/>
                <w:color w:val="000000"/>
                <w:sz w:val="20"/>
                <w:szCs w:val="20"/>
              </w:rPr>
              <w:t xml:space="preserve"> (avian)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Chlamydia </w:t>
            </w:r>
            <w:proofErr w:type="spellStart"/>
            <w:r w:rsidRPr="003F10EE">
              <w:rPr>
                <w:rFonts w:ascii="Arial" w:hAnsi="Arial" w:cs="Arial"/>
                <w:color w:val="000000"/>
                <w:sz w:val="20"/>
                <w:szCs w:val="20"/>
              </w:rPr>
              <w:t>psittaci</w:t>
            </w:r>
            <w:proofErr w:type="spellEnd"/>
            <w:r w:rsidRPr="003F10EE">
              <w:rPr>
                <w:rFonts w:ascii="Arial" w:hAnsi="Arial" w:cs="Arial"/>
                <w:color w:val="000000"/>
                <w:sz w:val="20"/>
                <w:szCs w:val="20"/>
              </w:rPr>
              <w:t xml:space="preserve"> (non-avian)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Clostridum</w:t>
            </w:r>
            <w:proofErr w:type="spellEnd"/>
            <w:r w:rsidRPr="003F10EE">
              <w:rPr>
                <w:rFonts w:ascii="Arial" w:hAnsi="Arial" w:cs="Arial"/>
                <w:color w:val="000000"/>
                <w:sz w:val="20"/>
                <w:szCs w:val="20"/>
              </w:rPr>
              <w:t xml:space="preserve"> botulinum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247"/>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Enterohaemorrhagic</w:t>
            </w:r>
            <w:proofErr w:type="spellEnd"/>
            <w:r w:rsidRPr="003F10EE">
              <w:rPr>
                <w:rFonts w:ascii="Arial" w:hAnsi="Arial" w:cs="Arial"/>
                <w:color w:val="000000"/>
                <w:sz w:val="20"/>
                <w:szCs w:val="20"/>
              </w:rPr>
              <w:t xml:space="preserve"> Escherichia coli, serotype 0157 &amp; </w:t>
            </w:r>
            <w:proofErr w:type="spellStart"/>
            <w:r w:rsidRPr="003F10EE">
              <w:rPr>
                <w:rFonts w:ascii="Arial" w:hAnsi="Arial" w:cs="Arial"/>
                <w:color w:val="000000"/>
                <w:sz w:val="20"/>
                <w:szCs w:val="20"/>
              </w:rPr>
              <w:t>verotoxin</w:t>
            </w:r>
            <w:proofErr w:type="spellEnd"/>
            <w:r w:rsidRPr="003F10EE">
              <w:rPr>
                <w:rFonts w:ascii="Arial" w:hAnsi="Arial" w:cs="Arial"/>
                <w:color w:val="000000"/>
                <w:sz w:val="20"/>
                <w:szCs w:val="20"/>
              </w:rPr>
              <w:t xml:space="preserve"> producing strains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Francisella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tularensis</w:t>
            </w:r>
            <w:proofErr w:type="spellEnd"/>
            <w:r w:rsidRPr="003F10EE">
              <w:rPr>
                <w:rFonts w:ascii="Arial" w:hAnsi="Arial" w:cs="Arial"/>
                <w:color w:val="000000"/>
                <w:sz w:val="20"/>
                <w:szCs w:val="20"/>
              </w:rPr>
              <w:t xml:space="preserve"> (Type A)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Francisella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tularensis</w:t>
            </w:r>
            <w:proofErr w:type="spellEnd"/>
            <w:r w:rsidRPr="003F10EE">
              <w:rPr>
                <w:rFonts w:ascii="Arial" w:hAnsi="Arial" w:cs="Arial"/>
                <w:color w:val="000000"/>
                <w:sz w:val="20"/>
                <w:szCs w:val="20"/>
              </w:rPr>
              <w:t xml:space="preserve"> (Type B)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Salmonella </w:t>
            </w:r>
            <w:proofErr w:type="spellStart"/>
            <w:r w:rsidRPr="003F10EE">
              <w:rPr>
                <w:rFonts w:ascii="Arial" w:hAnsi="Arial" w:cs="Arial"/>
                <w:color w:val="000000"/>
                <w:sz w:val="20"/>
                <w:szCs w:val="20"/>
              </w:rPr>
              <w:t>paratyphi</w:t>
            </w:r>
            <w:proofErr w:type="spellEnd"/>
            <w:r w:rsidRPr="003F10EE">
              <w:rPr>
                <w:rFonts w:ascii="Arial" w:hAnsi="Arial" w:cs="Arial"/>
                <w:color w:val="000000"/>
                <w:sz w:val="20"/>
                <w:szCs w:val="20"/>
              </w:rPr>
              <w:t xml:space="preserve"> – multiple drug resistant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Salmonella </w:t>
            </w:r>
            <w:proofErr w:type="spellStart"/>
            <w:r w:rsidRPr="003F10EE">
              <w:rPr>
                <w:rFonts w:ascii="Arial" w:hAnsi="Arial" w:cs="Arial"/>
                <w:color w:val="000000"/>
                <w:sz w:val="20"/>
                <w:szCs w:val="20"/>
              </w:rPr>
              <w:t>paratyphi</w:t>
            </w:r>
            <w:proofErr w:type="spellEnd"/>
            <w:r w:rsidRPr="003F10EE">
              <w:rPr>
                <w:rFonts w:ascii="Arial" w:hAnsi="Arial" w:cs="Arial"/>
                <w:color w:val="000000"/>
                <w:sz w:val="20"/>
                <w:szCs w:val="20"/>
              </w:rPr>
              <w:t xml:space="preserve"> A, B, C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Salmonella </w:t>
            </w:r>
            <w:proofErr w:type="spellStart"/>
            <w:r w:rsidRPr="003F10EE">
              <w:rPr>
                <w:rFonts w:ascii="Arial" w:hAnsi="Arial" w:cs="Arial"/>
                <w:color w:val="000000"/>
                <w:sz w:val="20"/>
                <w:szCs w:val="20"/>
              </w:rPr>
              <w:t>typhi</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Shigella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boydii</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Shigella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dysenteriae</w:t>
            </w:r>
            <w:proofErr w:type="spellEnd"/>
            <w:r w:rsidRPr="003F10EE">
              <w:rPr>
                <w:rFonts w:ascii="Arial" w:hAnsi="Arial" w:cs="Arial"/>
                <w:color w:val="000000"/>
                <w:sz w:val="20"/>
                <w:szCs w:val="20"/>
              </w:rPr>
              <w:t xml:space="preserve"> (other than Type 1)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Shigella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dysenteriae</w:t>
            </w:r>
            <w:proofErr w:type="spellEnd"/>
            <w:r w:rsidRPr="003F10EE">
              <w:rPr>
                <w:rFonts w:ascii="Arial" w:hAnsi="Arial" w:cs="Arial"/>
                <w:color w:val="000000"/>
                <w:sz w:val="20"/>
                <w:szCs w:val="20"/>
              </w:rPr>
              <w:t xml:space="preserve"> (Type 1)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proofErr w:type="spellStart"/>
            <w:r w:rsidRPr="003F10EE">
              <w:rPr>
                <w:rFonts w:ascii="Arial" w:hAnsi="Arial" w:cs="Arial"/>
                <w:color w:val="000000"/>
                <w:sz w:val="20"/>
                <w:szCs w:val="20"/>
              </w:rPr>
              <w:t>Shigella</w:t>
            </w:r>
            <w:proofErr w:type="spellEnd"/>
            <w:r w:rsidRPr="003F10EE">
              <w:rPr>
                <w:rFonts w:ascii="Arial" w:hAnsi="Arial" w:cs="Arial"/>
                <w:color w:val="000000"/>
                <w:sz w:val="20"/>
                <w:szCs w:val="20"/>
              </w:rPr>
              <w:t xml:space="preserve"> </w:t>
            </w:r>
            <w:proofErr w:type="spellStart"/>
            <w:r w:rsidRPr="003F10EE">
              <w:rPr>
                <w:rFonts w:ascii="Arial" w:hAnsi="Arial" w:cs="Arial"/>
                <w:color w:val="000000"/>
                <w:sz w:val="20"/>
                <w:szCs w:val="20"/>
              </w:rPr>
              <w:t>flexneri</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Vibrio </w:t>
            </w:r>
            <w:proofErr w:type="spellStart"/>
            <w:r w:rsidRPr="003F10EE">
              <w:rPr>
                <w:rFonts w:ascii="Arial" w:hAnsi="Arial" w:cs="Arial"/>
                <w:color w:val="000000"/>
                <w:sz w:val="20"/>
                <w:szCs w:val="20"/>
              </w:rPr>
              <w:t>cholerae</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2 </w:t>
            </w:r>
          </w:p>
        </w:tc>
      </w:tr>
      <w:tr w:rsidR="003F10EE" w:rsidRPr="003F10EE" w:rsidTr="00BF2017">
        <w:trPr>
          <w:trHeight w:val="132"/>
        </w:trPr>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Yersinia </w:t>
            </w:r>
            <w:proofErr w:type="spellStart"/>
            <w:r w:rsidRPr="003F10EE">
              <w:rPr>
                <w:rFonts w:ascii="Arial" w:hAnsi="Arial" w:cs="Arial"/>
                <w:color w:val="000000"/>
                <w:sz w:val="20"/>
                <w:szCs w:val="20"/>
              </w:rPr>
              <w:t>pestis</w:t>
            </w:r>
            <w:proofErr w:type="spellEnd"/>
            <w:r w:rsidRPr="003F10EE">
              <w:rPr>
                <w:rFonts w:ascii="Arial" w:hAnsi="Arial" w:cs="Arial"/>
                <w:color w:val="000000"/>
                <w:sz w:val="20"/>
                <w:szCs w:val="20"/>
              </w:rPr>
              <w:t xml:space="preserve"> </w:t>
            </w:r>
          </w:p>
        </w:tc>
        <w:tc>
          <w:tcPr>
            <w:tcW w:w="0" w:type="auto"/>
          </w:tcPr>
          <w:p w:rsidR="003F10EE" w:rsidRPr="003F10EE" w:rsidRDefault="003F10EE" w:rsidP="003F10EE">
            <w:pPr>
              <w:autoSpaceDE w:val="0"/>
              <w:autoSpaceDN w:val="0"/>
              <w:adjustRightInd w:val="0"/>
              <w:rPr>
                <w:rFonts w:ascii="Arial" w:hAnsi="Arial" w:cs="Arial"/>
                <w:color w:val="000000"/>
                <w:sz w:val="20"/>
                <w:szCs w:val="20"/>
              </w:rPr>
            </w:pPr>
            <w:r w:rsidRPr="003F10EE">
              <w:rPr>
                <w:rFonts w:ascii="Arial" w:hAnsi="Arial" w:cs="Arial"/>
                <w:color w:val="000000"/>
                <w:sz w:val="20"/>
                <w:szCs w:val="20"/>
              </w:rPr>
              <w:t xml:space="preserve">3 </w:t>
            </w:r>
          </w:p>
        </w:tc>
      </w:tr>
      <w:tr w:rsidR="000C431A" w:rsidTr="00073130">
        <w:tc>
          <w:tcPr>
            <w:tcW w:w="7437" w:type="dxa"/>
            <w:tcBorders>
              <w:bottom w:val="single" w:sz="4" w:space="0" w:color="auto"/>
            </w:tcBorders>
          </w:tcPr>
          <w:p w:rsidR="000C431A" w:rsidRDefault="000C431A" w:rsidP="00D3599B"/>
        </w:tc>
        <w:tc>
          <w:tcPr>
            <w:tcW w:w="1805" w:type="dxa"/>
            <w:tcBorders>
              <w:bottom w:val="single" w:sz="4" w:space="0" w:color="auto"/>
            </w:tcBorders>
          </w:tcPr>
          <w:p w:rsidR="000C431A" w:rsidRDefault="000C431A" w:rsidP="00D3599B"/>
        </w:tc>
      </w:tr>
      <w:tr w:rsidR="000C431A" w:rsidTr="00073130">
        <w:tc>
          <w:tcPr>
            <w:tcW w:w="7437" w:type="dxa"/>
            <w:shd w:val="pct10" w:color="auto" w:fill="auto"/>
          </w:tcPr>
          <w:p w:rsidR="000C431A" w:rsidRPr="00311D61" w:rsidRDefault="00F43A95" w:rsidP="00D3599B">
            <w:pPr>
              <w:rPr>
                <w:b/>
              </w:rPr>
            </w:pPr>
            <w:r w:rsidRPr="00311D61">
              <w:rPr>
                <w:b/>
              </w:rPr>
              <w:t>Animal Viruses</w:t>
            </w:r>
          </w:p>
        </w:tc>
        <w:tc>
          <w:tcPr>
            <w:tcW w:w="1805" w:type="dxa"/>
            <w:shd w:val="pct10" w:color="auto" w:fill="auto"/>
          </w:tcPr>
          <w:p w:rsidR="000C431A" w:rsidRPr="00311D61" w:rsidRDefault="00F43A95" w:rsidP="00D3599B">
            <w:pPr>
              <w:rPr>
                <w:b/>
              </w:rPr>
            </w:pPr>
            <w:r w:rsidRPr="00311D61">
              <w:rPr>
                <w:b/>
              </w:rPr>
              <w:t>SAPO Hazard Group</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African horse sickness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African swine fever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4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Bluetongue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Classical swine fever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Foot and mouth disease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4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Goat pox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Lumpy skin disease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proofErr w:type="spellStart"/>
            <w:r w:rsidRPr="005C0304">
              <w:rPr>
                <w:rFonts w:ascii="Arial" w:hAnsi="Arial" w:cs="Arial"/>
                <w:color w:val="000000"/>
                <w:sz w:val="20"/>
                <w:szCs w:val="20"/>
              </w:rPr>
              <w:t>Peste</w:t>
            </w:r>
            <w:proofErr w:type="spellEnd"/>
            <w:r w:rsidRPr="005C0304">
              <w:rPr>
                <w:rFonts w:ascii="Arial" w:hAnsi="Arial" w:cs="Arial"/>
                <w:color w:val="000000"/>
                <w:sz w:val="20"/>
                <w:szCs w:val="20"/>
              </w:rPr>
              <w:t xml:space="preserve"> des </w:t>
            </w:r>
            <w:proofErr w:type="spellStart"/>
            <w:r w:rsidRPr="005C0304">
              <w:rPr>
                <w:rFonts w:ascii="Arial" w:hAnsi="Arial" w:cs="Arial"/>
                <w:color w:val="000000"/>
                <w:sz w:val="20"/>
                <w:szCs w:val="20"/>
              </w:rPr>
              <w:t>petits</w:t>
            </w:r>
            <w:proofErr w:type="spellEnd"/>
            <w:r w:rsidRPr="005C0304">
              <w:rPr>
                <w:rFonts w:ascii="Arial" w:hAnsi="Arial" w:cs="Arial"/>
                <w:color w:val="000000"/>
                <w:sz w:val="20"/>
                <w:szCs w:val="20"/>
              </w:rPr>
              <w:t xml:space="preserve"> ruminants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4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Rinderpest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4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Sheep pox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3 </w:t>
            </w:r>
          </w:p>
        </w:tc>
      </w:tr>
      <w:tr w:rsidR="005C0304" w:rsidRPr="005C0304" w:rsidTr="00BF2017">
        <w:trPr>
          <w:trHeight w:val="132"/>
        </w:trPr>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Swine vesicular disease virus </w:t>
            </w:r>
          </w:p>
        </w:tc>
        <w:tc>
          <w:tcPr>
            <w:tcW w:w="0" w:type="auto"/>
          </w:tcPr>
          <w:p w:rsidR="005C0304" w:rsidRPr="005C0304" w:rsidRDefault="005C0304" w:rsidP="005C0304">
            <w:pPr>
              <w:autoSpaceDE w:val="0"/>
              <w:autoSpaceDN w:val="0"/>
              <w:adjustRightInd w:val="0"/>
              <w:rPr>
                <w:rFonts w:ascii="Arial" w:hAnsi="Arial" w:cs="Arial"/>
                <w:color w:val="000000"/>
                <w:sz w:val="20"/>
                <w:szCs w:val="20"/>
              </w:rPr>
            </w:pPr>
            <w:r w:rsidRPr="005C0304">
              <w:rPr>
                <w:rFonts w:ascii="Arial" w:hAnsi="Arial" w:cs="Arial"/>
                <w:color w:val="000000"/>
                <w:sz w:val="20"/>
                <w:szCs w:val="20"/>
              </w:rPr>
              <w:t xml:space="preserve">4 </w:t>
            </w:r>
          </w:p>
        </w:tc>
      </w:tr>
      <w:tr w:rsidR="000C431A" w:rsidTr="00073130">
        <w:tc>
          <w:tcPr>
            <w:tcW w:w="7437" w:type="dxa"/>
          </w:tcPr>
          <w:p w:rsidR="000C431A" w:rsidRDefault="000C431A" w:rsidP="00D3599B"/>
        </w:tc>
        <w:tc>
          <w:tcPr>
            <w:tcW w:w="1805" w:type="dxa"/>
          </w:tcPr>
          <w:p w:rsidR="000C431A" w:rsidRDefault="000C431A" w:rsidP="00D3599B"/>
        </w:tc>
      </w:tr>
      <w:tr w:rsidR="00311D61" w:rsidTr="00073130">
        <w:tc>
          <w:tcPr>
            <w:tcW w:w="7437" w:type="dxa"/>
            <w:shd w:val="pct10" w:color="auto" w:fill="auto"/>
          </w:tcPr>
          <w:p w:rsidR="00311D61" w:rsidRDefault="00311D61">
            <w:pPr>
              <w:pStyle w:val="Default"/>
              <w:rPr>
                <w:sz w:val="20"/>
                <w:szCs w:val="20"/>
              </w:rPr>
            </w:pPr>
            <w:r>
              <w:rPr>
                <w:b/>
                <w:bCs/>
                <w:sz w:val="20"/>
                <w:szCs w:val="20"/>
              </w:rPr>
              <w:t xml:space="preserve">Rickettsia </w:t>
            </w:r>
          </w:p>
        </w:tc>
        <w:tc>
          <w:tcPr>
            <w:tcW w:w="1805" w:type="dxa"/>
            <w:shd w:val="pct10" w:color="auto" w:fill="auto"/>
          </w:tcPr>
          <w:p w:rsidR="00311D61" w:rsidRDefault="00311D61">
            <w:pPr>
              <w:pStyle w:val="Default"/>
              <w:rPr>
                <w:sz w:val="20"/>
                <w:szCs w:val="20"/>
              </w:rPr>
            </w:pPr>
            <w:r>
              <w:rPr>
                <w:b/>
                <w:bCs/>
                <w:sz w:val="20"/>
                <w:szCs w:val="20"/>
              </w:rPr>
              <w:t xml:space="preserve">ACDP </w:t>
            </w:r>
          </w:p>
          <w:p w:rsidR="00311D61" w:rsidRDefault="00311D61">
            <w:pPr>
              <w:pStyle w:val="Default"/>
              <w:rPr>
                <w:sz w:val="20"/>
                <w:szCs w:val="20"/>
              </w:rPr>
            </w:pPr>
            <w:r>
              <w:rPr>
                <w:b/>
                <w:bCs/>
                <w:sz w:val="20"/>
                <w:szCs w:val="20"/>
              </w:rPr>
              <w:t xml:space="preserve">Hazard Group </w:t>
            </w:r>
          </w:p>
        </w:tc>
      </w:tr>
      <w:tr w:rsidR="00311D61" w:rsidRPr="00311D61" w:rsidTr="00BF2017">
        <w:trPr>
          <w:trHeight w:val="132"/>
        </w:trPr>
        <w:tc>
          <w:tcPr>
            <w:tcW w:w="0" w:type="auto"/>
          </w:tcPr>
          <w:p w:rsidR="00311D61" w:rsidRPr="00311D61" w:rsidRDefault="00311D61" w:rsidP="00311D61">
            <w:pPr>
              <w:autoSpaceDE w:val="0"/>
              <w:autoSpaceDN w:val="0"/>
              <w:adjustRightInd w:val="0"/>
              <w:rPr>
                <w:rFonts w:ascii="Arial" w:hAnsi="Arial" w:cs="Arial"/>
                <w:color w:val="000000"/>
                <w:sz w:val="20"/>
                <w:szCs w:val="20"/>
              </w:rPr>
            </w:pPr>
            <w:proofErr w:type="spellStart"/>
            <w:r w:rsidRPr="00311D61">
              <w:rPr>
                <w:rFonts w:ascii="Arial" w:hAnsi="Arial" w:cs="Arial"/>
                <w:color w:val="000000"/>
                <w:sz w:val="20"/>
                <w:szCs w:val="20"/>
              </w:rPr>
              <w:t>Coxiella</w:t>
            </w:r>
            <w:proofErr w:type="spellEnd"/>
            <w:r w:rsidRPr="00311D61">
              <w:rPr>
                <w:rFonts w:ascii="Arial" w:hAnsi="Arial" w:cs="Arial"/>
                <w:color w:val="000000"/>
                <w:sz w:val="20"/>
                <w:szCs w:val="20"/>
              </w:rPr>
              <w:t xml:space="preserve"> </w:t>
            </w:r>
            <w:proofErr w:type="spellStart"/>
            <w:r w:rsidRPr="00311D61">
              <w:rPr>
                <w:rFonts w:ascii="Arial" w:hAnsi="Arial" w:cs="Arial"/>
                <w:color w:val="000000"/>
                <w:sz w:val="20"/>
                <w:szCs w:val="20"/>
              </w:rPr>
              <w:t>burnetii</w:t>
            </w:r>
            <w:proofErr w:type="spellEnd"/>
            <w:r w:rsidRPr="00311D61">
              <w:rPr>
                <w:rFonts w:ascii="Arial" w:hAnsi="Arial" w:cs="Arial"/>
                <w:color w:val="000000"/>
                <w:sz w:val="20"/>
                <w:szCs w:val="20"/>
              </w:rPr>
              <w:t xml:space="preserve"> </w:t>
            </w:r>
          </w:p>
        </w:tc>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3 </w:t>
            </w:r>
          </w:p>
        </w:tc>
      </w:tr>
      <w:tr w:rsidR="00311D61" w:rsidRPr="00311D61" w:rsidTr="00BF2017">
        <w:trPr>
          <w:trHeight w:val="132"/>
        </w:trPr>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Rickettsia </w:t>
            </w:r>
            <w:proofErr w:type="spellStart"/>
            <w:r w:rsidRPr="00311D61">
              <w:rPr>
                <w:rFonts w:ascii="Arial" w:hAnsi="Arial" w:cs="Arial"/>
                <w:color w:val="000000"/>
                <w:sz w:val="20"/>
                <w:szCs w:val="20"/>
              </w:rPr>
              <w:t>prowazeki</w:t>
            </w:r>
            <w:proofErr w:type="spellEnd"/>
            <w:r w:rsidRPr="00311D61">
              <w:rPr>
                <w:rFonts w:ascii="Arial" w:hAnsi="Arial" w:cs="Arial"/>
                <w:color w:val="000000"/>
                <w:sz w:val="20"/>
                <w:szCs w:val="20"/>
              </w:rPr>
              <w:t xml:space="preserve"> </w:t>
            </w:r>
          </w:p>
        </w:tc>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3 </w:t>
            </w:r>
          </w:p>
        </w:tc>
      </w:tr>
      <w:tr w:rsidR="00311D61" w:rsidRPr="00311D61" w:rsidTr="00BF2017">
        <w:trPr>
          <w:trHeight w:val="132"/>
        </w:trPr>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Rickettsia </w:t>
            </w:r>
            <w:proofErr w:type="spellStart"/>
            <w:r w:rsidRPr="00311D61">
              <w:rPr>
                <w:rFonts w:ascii="Arial" w:hAnsi="Arial" w:cs="Arial"/>
                <w:color w:val="000000"/>
                <w:sz w:val="20"/>
                <w:szCs w:val="20"/>
              </w:rPr>
              <w:t>rickettsii</w:t>
            </w:r>
            <w:proofErr w:type="spellEnd"/>
            <w:r w:rsidRPr="00311D61">
              <w:rPr>
                <w:rFonts w:ascii="Arial" w:hAnsi="Arial" w:cs="Arial"/>
                <w:color w:val="000000"/>
                <w:sz w:val="20"/>
                <w:szCs w:val="20"/>
              </w:rPr>
              <w:t xml:space="preserve"> </w:t>
            </w:r>
          </w:p>
        </w:tc>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3 </w:t>
            </w:r>
          </w:p>
        </w:tc>
      </w:tr>
      <w:tr w:rsidR="00311D61" w:rsidRPr="00311D61" w:rsidTr="00BF2017">
        <w:trPr>
          <w:trHeight w:val="132"/>
        </w:trPr>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Rickettsia </w:t>
            </w:r>
            <w:proofErr w:type="spellStart"/>
            <w:r w:rsidRPr="00311D61">
              <w:rPr>
                <w:rFonts w:ascii="Arial" w:hAnsi="Arial" w:cs="Arial"/>
                <w:color w:val="000000"/>
                <w:sz w:val="20"/>
                <w:szCs w:val="20"/>
              </w:rPr>
              <w:t>typhi</w:t>
            </w:r>
            <w:proofErr w:type="spellEnd"/>
            <w:r w:rsidRPr="00311D61">
              <w:rPr>
                <w:rFonts w:ascii="Arial" w:hAnsi="Arial" w:cs="Arial"/>
                <w:color w:val="000000"/>
                <w:sz w:val="20"/>
                <w:szCs w:val="20"/>
              </w:rPr>
              <w:t xml:space="preserve"> (</w:t>
            </w:r>
            <w:proofErr w:type="spellStart"/>
            <w:r w:rsidRPr="00311D61">
              <w:rPr>
                <w:rFonts w:ascii="Arial" w:hAnsi="Arial" w:cs="Arial"/>
                <w:color w:val="000000"/>
                <w:sz w:val="20"/>
                <w:szCs w:val="20"/>
              </w:rPr>
              <w:t>mooseri</w:t>
            </w:r>
            <w:proofErr w:type="spellEnd"/>
            <w:r w:rsidRPr="00311D61">
              <w:rPr>
                <w:rFonts w:ascii="Arial" w:hAnsi="Arial" w:cs="Arial"/>
                <w:color w:val="000000"/>
                <w:sz w:val="20"/>
                <w:szCs w:val="20"/>
              </w:rPr>
              <w:t xml:space="preserve">) </w:t>
            </w:r>
          </w:p>
        </w:tc>
        <w:tc>
          <w:tcPr>
            <w:tcW w:w="0" w:type="auto"/>
          </w:tcPr>
          <w:p w:rsidR="00311D61" w:rsidRPr="00311D61" w:rsidRDefault="00311D61" w:rsidP="00311D61">
            <w:pPr>
              <w:autoSpaceDE w:val="0"/>
              <w:autoSpaceDN w:val="0"/>
              <w:adjustRightInd w:val="0"/>
              <w:rPr>
                <w:rFonts w:ascii="Arial" w:hAnsi="Arial" w:cs="Arial"/>
                <w:color w:val="000000"/>
                <w:sz w:val="20"/>
                <w:szCs w:val="20"/>
              </w:rPr>
            </w:pPr>
            <w:r w:rsidRPr="00311D61">
              <w:rPr>
                <w:rFonts w:ascii="Arial" w:hAnsi="Arial" w:cs="Arial"/>
                <w:color w:val="000000"/>
                <w:sz w:val="20"/>
                <w:szCs w:val="20"/>
              </w:rPr>
              <w:t xml:space="preserve">3 </w:t>
            </w:r>
          </w:p>
        </w:tc>
      </w:tr>
      <w:tr w:rsidR="000C431A" w:rsidTr="00073130">
        <w:tc>
          <w:tcPr>
            <w:tcW w:w="7437" w:type="dxa"/>
          </w:tcPr>
          <w:p w:rsidR="000C431A" w:rsidRDefault="000C431A" w:rsidP="00D3599B"/>
        </w:tc>
        <w:tc>
          <w:tcPr>
            <w:tcW w:w="1805" w:type="dxa"/>
          </w:tcPr>
          <w:p w:rsidR="000C431A" w:rsidRDefault="000C431A" w:rsidP="00D3599B"/>
        </w:tc>
      </w:tr>
      <w:tr w:rsidR="00BF2017" w:rsidTr="00073130">
        <w:tc>
          <w:tcPr>
            <w:tcW w:w="7437" w:type="dxa"/>
            <w:shd w:val="pct10" w:color="auto" w:fill="auto"/>
          </w:tcPr>
          <w:p w:rsidR="00BF2017" w:rsidRDefault="00BF2017">
            <w:pPr>
              <w:pStyle w:val="Default"/>
              <w:rPr>
                <w:sz w:val="20"/>
                <w:szCs w:val="20"/>
              </w:rPr>
            </w:pPr>
            <w:r>
              <w:rPr>
                <w:b/>
                <w:bCs/>
                <w:sz w:val="20"/>
                <w:szCs w:val="20"/>
              </w:rPr>
              <w:t xml:space="preserve">Mycoplasma </w:t>
            </w:r>
          </w:p>
        </w:tc>
        <w:tc>
          <w:tcPr>
            <w:tcW w:w="1805" w:type="dxa"/>
            <w:shd w:val="pct10" w:color="auto" w:fill="auto"/>
          </w:tcPr>
          <w:p w:rsidR="00BF2017" w:rsidRDefault="00BF2017">
            <w:pPr>
              <w:pStyle w:val="Default"/>
              <w:rPr>
                <w:sz w:val="20"/>
                <w:szCs w:val="20"/>
              </w:rPr>
            </w:pPr>
            <w:r>
              <w:rPr>
                <w:b/>
                <w:bCs/>
                <w:sz w:val="20"/>
                <w:szCs w:val="20"/>
              </w:rPr>
              <w:t xml:space="preserve">SAPO Hazard Group </w:t>
            </w:r>
          </w:p>
        </w:tc>
      </w:tr>
      <w:tr w:rsidR="00BF2017" w:rsidRPr="00BF2017" w:rsidTr="00BF2017">
        <w:trPr>
          <w:trHeight w:val="247"/>
        </w:trPr>
        <w:tc>
          <w:tcPr>
            <w:tcW w:w="0" w:type="auto"/>
          </w:tcPr>
          <w:p w:rsidR="00BF2017" w:rsidRPr="00BF2017" w:rsidRDefault="00BF2017" w:rsidP="00BF2017">
            <w:pPr>
              <w:autoSpaceDE w:val="0"/>
              <w:autoSpaceDN w:val="0"/>
              <w:adjustRightInd w:val="0"/>
              <w:rPr>
                <w:rFonts w:ascii="Arial" w:hAnsi="Arial" w:cs="Arial"/>
                <w:color w:val="000000"/>
                <w:sz w:val="20"/>
                <w:szCs w:val="20"/>
              </w:rPr>
            </w:pPr>
            <w:r w:rsidRPr="00BF2017">
              <w:rPr>
                <w:rFonts w:ascii="Arial" w:hAnsi="Arial" w:cs="Arial"/>
                <w:color w:val="000000"/>
                <w:sz w:val="20"/>
                <w:szCs w:val="20"/>
              </w:rPr>
              <w:t xml:space="preserve">Mycoplasma </w:t>
            </w:r>
            <w:proofErr w:type="spellStart"/>
            <w:r w:rsidRPr="00BF2017">
              <w:rPr>
                <w:rFonts w:ascii="Arial" w:hAnsi="Arial" w:cs="Arial"/>
                <w:color w:val="000000"/>
                <w:sz w:val="20"/>
                <w:szCs w:val="20"/>
              </w:rPr>
              <w:t>mycoides</w:t>
            </w:r>
            <w:proofErr w:type="spellEnd"/>
            <w:r w:rsidRPr="00BF2017">
              <w:rPr>
                <w:rFonts w:ascii="Arial" w:hAnsi="Arial" w:cs="Arial"/>
                <w:color w:val="000000"/>
                <w:sz w:val="20"/>
                <w:szCs w:val="20"/>
              </w:rPr>
              <w:t xml:space="preserve"> </w:t>
            </w:r>
            <w:proofErr w:type="spellStart"/>
            <w:r w:rsidRPr="00BF2017">
              <w:rPr>
                <w:rFonts w:ascii="Arial" w:hAnsi="Arial" w:cs="Arial"/>
                <w:color w:val="000000"/>
                <w:sz w:val="20"/>
                <w:szCs w:val="20"/>
              </w:rPr>
              <w:t>subsp</w:t>
            </w:r>
            <w:proofErr w:type="spellEnd"/>
            <w:r w:rsidRPr="00BF2017">
              <w:rPr>
                <w:rFonts w:ascii="Arial" w:hAnsi="Arial" w:cs="Arial"/>
                <w:color w:val="000000"/>
                <w:sz w:val="20"/>
                <w:szCs w:val="20"/>
              </w:rPr>
              <w:t xml:space="preserve"> </w:t>
            </w:r>
            <w:proofErr w:type="spellStart"/>
            <w:r w:rsidRPr="00BF2017">
              <w:rPr>
                <w:rFonts w:ascii="Arial" w:hAnsi="Arial" w:cs="Arial"/>
                <w:color w:val="000000"/>
                <w:sz w:val="20"/>
                <w:szCs w:val="20"/>
              </w:rPr>
              <w:t>mycoides</w:t>
            </w:r>
            <w:proofErr w:type="spellEnd"/>
            <w:r w:rsidRPr="00BF2017">
              <w:rPr>
                <w:rFonts w:ascii="Arial" w:hAnsi="Arial" w:cs="Arial"/>
                <w:color w:val="000000"/>
                <w:sz w:val="20"/>
                <w:szCs w:val="20"/>
              </w:rPr>
              <w:t xml:space="preserve"> SC (Contagious bovine pleuropneumonia) </w:t>
            </w:r>
          </w:p>
        </w:tc>
        <w:tc>
          <w:tcPr>
            <w:tcW w:w="0" w:type="auto"/>
          </w:tcPr>
          <w:p w:rsidR="00BF2017" w:rsidRPr="00BF2017" w:rsidRDefault="00BF2017" w:rsidP="00BF2017">
            <w:pPr>
              <w:autoSpaceDE w:val="0"/>
              <w:autoSpaceDN w:val="0"/>
              <w:adjustRightInd w:val="0"/>
              <w:rPr>
                <w:rFonts w:ascii="Arial" w:hAnsi="Arial" w:cs="Arial"/>
                <w:color w:val="000000"/>
                <w:sz w:val="20"/>
                <w:szCs w:val="20"/>
              </w:rPr>
            </w:pPr>
            <w:r w:rsidRPr="00BF2017">
              <w:rPr>
                <w:rFonts w:ascii="Arial" w:hAnsi="Arial" w:cs="Arial"/>
                <w:color w:val="000000"/>
                <w:sz w:val="20"/>
                <w:szCs w:val="20"/>
              </w:rPr>
              <w:t xml:space="preserve">2 </w:t>
            </w:r>
          </w:p>
        </w:tc>
      </w:tr>
      <w:tr w:rsidR="000C431A" w:rsidTr="00073130">
        <w:tc>
          <w:tcPr>
            <w:tcW w:w="7437" w:type="dxa"/>
          </w:tcPr>
          <w:p w:rsidR="000C431A" w:rsidRDefault="000C431A" w:rsidP="00D3599B"/>
        </w:tc>
        <w:tc>
          <w:tcPr>
            <w:tcW w:w="1805" w:type="dxa"/>
          </w:tcPr>
          <w:p w:rsidR="000C431A" w:rsidRDefault="000C431A" w:rsidP="00D3599B"/>
        </w:tc>
      </w:tr>
      <w:tr w:rsidR="002527BF" w:rsidTr="00073130">
        <w:tc>
          <w:tcPr>
            <w:tcW w:w="7437" w:type="dxa"/>
            <w:shd w:val="pct10" w:color="auto" w:fill="auto"/>
          </w:tcPr>
          <w:p w:rsidR="002527BF" w:rsidRDefault="002527BF" w:rsidP="00037333">
            <w:pPr>
              <w:pStyle w:val="Default"/>
              <w:rPr>
                <w:sz w:val="20"/>
                <w:szCs w:val="20"/>
              </w:rPr>
            </w:pPr>
            <w:r>
              <w:rPr>
                <w:b/>
                <w:bCs/>
                <w:sz w:val="20"/>
                <w:szCs w:val="20"/>
              </w:rPr>
              <w:t>Toxins</w:t>
            </w:r>
          </w:p>
        </w:tc>
        <w:tc>
          <w:tcPr>
            <w:tcW w:w="1805" w:type="dxa"/>
            <w:shd w:val="pct10" w:color="auto" w:fill="auto"/>
          </w:tcPr>
          <w:p w:rsidR="002527BF" w:rsidRDefault="002527BF" w:rsidP="00037333">
            <w:pPr>
              <w:pStyle w:val="Default"/>
              <w:rPr>
                <w:sz w:val="20"/>
                <w:szCs w:val="20"/>
              </w:rPr>
            </w:pPr>
          </w:p>
        </w:tc>
      </w:tr>
      <w:tr w:rsidR="002527BF" w:rsidTr="00073130">
        <w:tc>
          <w:tcPr>
            <w:tcW w:w="7437" w:type="dxa"/>
          </w:tcPr>
          <w:p w:rsidR="002527BF" w:rsidRDefault="002527BF">
            <w:pPr>
              <w:pStyle w:val="Default"/>
              <w:rPr>
                <w:sz w:val="20"/>
                <w:szCs w:val="20"/>
              </w:rPr>
            </w:pPr>
            <w:proofErr w:type="spellStart"/>
            <w:r>
              <w:rPr>
                <w:sz w:val="20"/>
                <w:szCs w:val="20"/>
              </w:rPr>
              <w:t>Abrin</w:t>
            </w:r>
            <w:proofErr w:type="spellEnd"/>
            <w:r>
              <w:rPr>
                <w:sz w:val="20"/>
                <w:szCs w:val="20"/>
              </w:rPr>
              <w:t xml:space="preserve">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Botulinum toxins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Clostridium perfringens epsilon toxin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Clostridium perfringens enterotoxin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proofErr w:type="spellStart"/>
            <w:r>
              <w:rPr>
                <w:sz w:val="20"/>
                <w:szCs w:val="20"/>
              </w:rPr>
              <w:lastRenderedPageBreak/>
              <w:t>Conotoxin</w:t>
            </w:r>
            <w:proofErr w:type="spellEnd"/>
            <w:r>
              <w:rPr>
                <w:sz w:val="20"/>
                <w:szCs w:val="20"/>
              </w:rPr>
              <w:t xml:space="preserve">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proofErr w:type="spellStart"/>
            <w:r>
              <w:rPr>
                <w:sz w:val="20"/>
                <w:szCs w:val="20"/>
              </w:rPr>
              <w:t>Modeccin</w:t>
            </w:r>
            <w:proofErr w:type="spellEnd"/>
            <w:r>
              <w:rPr>
                <w:sz w:val="20"/>
                <w:szCs w:val="20"/>
              </w:rPr>
              <w:t xml:space="preserve"> toxin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Ricin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proofErr w:type="spellStart"/>
            <w:r>
              <w:rPr>
                <w:sz w:val="20"/>
                <w:szCs w:val="20"/>
              </w:rPr>
              <w:t>Saxitoxin</w:t>
            </w:r>
            <w:proofErr w:type="spellEnd"/>
            <w:r>
              <w:rPr>
                <w:sz w:val="20"/>
                <w:szCs w:val="20"/>
              </w:rPr>
              <w:t xml:space="preserve">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Shiga and </w:t>
            </w:r>
            <w:proofErr w:type="spellStart"/>
            <w:r>
              <w:rPr>
                <w:sz w:val="20"/>
                <w:szCs w:val="20"/>
              </w:rPr>
              <w:t>shiga</w:t>
            </w:r>
            <w:proofErr w:type="spellEnd"/>
            <w:r>
              <w:rPr>
                <w:sz w:val="20"/>
                <w:szCs w:val="20"/>
              </w:rPr>
              <w:t xml:space="preserve">-like toxins </w:t>
            </w:r>
          </w:p>
        </w:tc>
        <w:tc>
          <w:tcPr>
            <w:tcW w:w="1805" w:type="dxa"/>
          </w:tcPr>
          <w:p w:rsidR="002527BF" w:rsidRDefault="002527BF" w:rsidP="00D3599B"/>
        </w:tc>
      </w:tr>
      <w:tr w:rsidR="002527BF" w:rsidTr="00073130">
        <w:tc>
          <w:tcPr>
            <w:tcW w:w="7437" w:type="dxa"/>
          </w:tcPr>
          <w:p w:rsidR="002527BF" w:rsidRDefault="002527BF">
            <w:pPr>
              <w:pStyle w:val="Default"/>
              <w:rPr>
                <w:sz w:val="20"/>
                <w:szCs w:val="20"/>
              </w:rPr>
            </w:pPr>
            <w:r>
              <w:rPr>
                <w:sz w:val="20"/>
                <w:szCs w:val="20"/>
              </w:rPr>
              <w:t xml:space="preserve">Staphylococcal enterotoxins </w:t>
            </w:r>
          </w:p>
        </w:tc>
        <w:tc>
          <w:tcPr>
            <w:tcW w:w="1805" w:type="dxa"/>
          </w:tcPr>
          <w:p w:rsidR="002527BF" w:rsidRDefault="002527BF" w:rsidP="00D3599B"/>
        </w:tc>
      </w:tr>
      <w:tr w:rsidR="000C431A" w:rsidTr="00073130">
        <w:tc>
          <w:tcPr>
            <w:tcW w:w="7437" w:type="dxa"/>
          </w:tcPr>
          <w:p w:rsidR="000C431A" w:rsidRDefault="000C431A" w:rsidP="00D3599B"/>
        </w:tc>
        <w:tc>
          <w:tcPr>
            <w:tcW w:w="1805" w:type="dxa"/>
          </w:tcPr>
          <w:p w:rsidR="000C431A" w:rsidRDefault="000C431A" w:rsidP="00D3599B"/>
        </w:tc>
      </w:tr>
    </w:tbl>
    <w:p w:rsidR="00A41FA9" w:rsidRDefault="00A41FA9" w:rsidP="00D3599B">
      <w:bookmarkStart w:id="0" w:name="_GoBack"/>
      <w:bookmarkEnd w:id="0"/>
    </w:p>
    <w:sectPr w:rsidR="00A41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73"/>
    <w:rsid w:val="00073130"/>
    <w:rsid w:val="000C431A"/>
    <w:rsid w:val="001F04AC"/>
    <w:rsid w:val="002527BF"/>
    <w:rsid w:val="002B1E52"/>
    <w:rsid w:val="00311D61"/>
    <w:rsid w:val="00325273"/>
    <w:rsid w:val="0033179E"/>
    <w:rsid w:val="003F10EE"/>
    <w:rsid w:val="005C0304"/>
    <w:rsid w:val="00830B8A"/>
    <w:rsid w:val="00847E58"/>
    <w:rsid w:val="008E407D"/>
    <w:rsid w:val="00944A26"/>
    <w:rsid w:val="00A41FA9"/>
    <w:rsid w:val="00B6665C"/>
    <w:rsid w:val="00BF2017"/>
    <w:rsid w:val="00CF6951"/>
    <w:rsid w:val="00D3599B"/>
    <w:rsid w:val="00E93EB3"/>
    <w:rsid w:val="00F43A95"/>
    <w:rsid w:val="00F554BD"/>
    <w:rsid w:val="00FA1BDA"/>
    <w:rsid w:val="00FD3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F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4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F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4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2018-02-08T14:36:00Z</dcterms:created>
  <dcterms:modified xsi:type="dcterms:W3CDTF">2018-02-09T14:41:00Z</dcterms:modified>
</cp:coreProperties>
</file>