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58" w:rsidRPr="009B69C4" w:rsidRDefault="00DE5A6F" w:rsidP="00886658">
      <w:r>
        <w:rPr>
          <w:noProof/>
        </w:rPr>
        <w:drawing>
          <wp:inline distT="0" distB="0" distL="0" distR="0">
            <wp:extent cx="2247900"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771525"/>
                    </a:xfrm>
                    <a:prstGeom prst="rect">
                      <a:avLst/>
                    </a:prstGeom>
                    <a:noFill/>
                  </pic:spPr>
                </pic:pic>
              </a:graphicData>
            </a:graphic>
          </wp:inline>
        </w:drawing>
      </w:r>
    </w:p>
    <w:p w:rsidR="00886658" w:rsidRPr="009B69C4" w:rsidRDefault="00886658" w:rsidP="00886658">
      <w:pPr>
        <w:jc w:val="center"/>
        <w:rPr>
          <w:rFonts w:ascii="Arial" w:hAnsi="Arial" w:cs="Arial"/>
          <w:sz w:val="22"/>
          <w:szCs w:val="22"/>
          <w:u w:val="single"/>
        </w:rPr>
      </w:pPr>
      <w:r w:rsidRPr="009B69C4">
        <w:rPr>
          <w:rFonts w:ascii="Arial" w:hAnsi="Arial" w:cs="Arial"/>
          <w:sz w:val="22"/>
          <w:szCs w:val="22"/>
          <w:u w:val="single"/>
        </w:rPr>
        <w:t>Statement of Main Terms and Conditions of Employment</w:t>
      </w:r>
    </w:p>
    <w:p w:rsidR="00886658" w:rsidRPr="009B69C4" w:rsidRDefault="00886658" w:rsidP="00886658">
      <w:pPr>
        <w:rPr>
          <w:rFonts w:ascii="Arial" w:hAnsi="Arial" w:cs="Arial"/>
          <w:sz w:val="22"/>
          <w:szCs w:val="22"/>
        </w:rPr>
      </w:pPr>
    </w:p>
    <w:p w:rsidR="004938A9" w:rsidRPr="009B69C4" w:rsidRDefault="00886658" w:rsidP="00DF3267">
      <w:pPr>
        <w:autoSpaceDE w:val="0"/>
        <w:autoSpaceDN w:val="0"/>
        <w:adjustRightInd w:val="0"/>
        <w:rPr>
          <w:rFonts w:ascii="Arial" w:hAnsi="Arial" w:cs="Arial"/>
          <w:sz w:val="20"/>
          <w:szCs w:val="20"/>
        </w:rPr>
      </w:pPr>
      <w:r w:rsidRPr="009B69C4">
        <w:rPr>
          <w:rFonts w:ascii="Arial" w:hAnsi="Arial" w:cs="Arial"/>
          <w:sz w:val="20"/>
          <w:szCs w:val="20"/>
        </w:rPr>
        <w:t xml:space="preserve">This statement of terms and conditions should be read in conjunction with your appointment letter.  Other information with respect to your terms and conditions of employment is included in detailed policies and procedures available from </w:t>
      </w:r>
      <w:r w:rsidR="00CA391E">
        <w:rPr>
          <w:rFonts w:ascii="Arial" w:hAnsi="Arial" w:cs="Arial"/>
          <w:sz w:val="20"/>
          <w:szCs w:val="20"/>
        </w:rPr>
        <w:t>People and Culture</w:t>
      </w:r>
      <w:r w:rsidRPr="009B69C4">
        <w:rPr>
          <w:rFonts w:ascii="Arial" w:hAnsi="Arial" w:cs="Arial"/>
          <w:sz w:val="20"/>
          <w:szCs w:val="20"/>
        </w:rPr>
        <w:t xml:space="preserve"> or </w:t>
      </w:r>
      <w:r w:rsidR="009B6538" w:rsidRPr="009B69C4">
        <w:rPr>
          <w:rFonts w:ascii="Arial" w:hAnsi="Arial" w:cs="Arial"/>
          <w:sz w:val="20"/>
          <w:szCs w:val="20"/>
        </w:rPr>
        <w:t xml:space="preserve">via the </w:t>
      </w:r>
      <w:hyperlink r:id="rId8" w:history="1">
        <w:r w:rsidR="00CA391E" w:rsidRPr="0061558F">
          <w:rPr>
            <w:rStyle w:val="Hyperlink"/>
            <w:rFonts w:ascii="Arial" w:hAnsi="Arial" w:cs="Arial"/>
            <w:sz w:val="20"/>
            <w:szCs w:val="20"/>
          </w:rPr>
          <w:t>People and Cu</w:t>
        </w:r>
        <w:r w:rsidR="00CA391E" w:rsidRPr="0061558F">
          <w:rPr>
            <w:rStyle w:val="Hyperlink"/>
            <w:rFonts w:ascii="Arial" w:hAnsi="Arial" w:cs="Arial"/>
            <w:sz w:val="20"/>
            <w:szCs w:val="20"/>
          </w:rPr>
          <w:t>l</w:t>
        </w:r>
        <w:r w:rsidR="00CA391E" w:rsidRPr="0061558F">
          <w:rPr>
            <w:rStyle w:val="Hyperlink"/>
            <w:rFonts w:ascii="Arial" w:hAnsi="Arial" w:cs="Arial"/>
            <w:sz w:val="20"/>
            <w:szCs w:val="20"/>
          </w:rPr>
          <w:t>ture website</w:t>
        </w:r>
      </w:hyperlink>
      <w:r w:rsidR="0061558F">
        <w:rPr>
          <w:rFonts w:ascii="Arial" w:hAnsi="Arial" w:cs="Arial"/>
          <w:sz w:val="20"/>
          <w:szCs w:val="20"/>
        </w:rPr>
        <w:t>.</w:t>
      </w:r>
      <w:r w:rsidR="009B6538" w:rsidRPr="009B69C4">
        <w:rPr>
          <w:rFonts w:ascii="Arial" w:hAnsi="Arial" w:cs="Arial"/>
          <w:sz w:val="20"/>
          <w:szCs w:val="20"/>
        </w:rPr>
        <w:t xml:space="preserve"> </w:t>
      </w:r>
    </w:p>
    <w:p w:rsidR="00886658" w:rsidRPr="009B69C4" w:rsidRDefault="00886658" w:rsidP="00886658">
      <w:pPr>
        <w:rPr>
          <w:rFonts w:ascii="Arial" w:hAnsi="Arial" w:cs="Arial"/>
          <w:sz w:val="22"/>
          <w:szCs w:val="22"/>
        </w:rPr>
      </w:pP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u w:val="single"/>
        </w:rPr>
      </w:pP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rPr>
      </w:pPr>
      <w:r w:rsidRPr="009B69C4">
        <w:rPr>
          <w:rFonts w:ascii="Arial" w:hAnsi="Arial" w:cs="Arial"/>
          <w:sz w:val="20"/>
          <w:szCs w:val="20"/>
          <w:u w:val="single"/>
        </w:rPr>
        <w:t>Name of Employer</w:t>
      </w:r>
      <w:r w:rsidRPr="009B69C4">
        <w:rPr>
          <w:rFonts w:ascii="Arial" w:hAnsi="Arial" w:cs="Arial"/>
          <w:sz w:val="20"/>
          <w:szCs w:val="20"/>
        </w:rPr>
        <w:t>:</w:t>
      </w:r>
      <w:r w:rsidRPr="009B69C4">
        <w:rPr>
          <w:rFonts w:ascii="Arial" w:hAnsi="Arial" w:cs="Arial"/>
          <w:sz w:val="20"/>
          <w:szCs w:val="20"/>
        </w:rPr>
        <w:tab/>
      </w:r>
      <w:r w:rsidRPr="009B69C4">
        <w:rPr>
          <w:rFonts w:ascii="Arial" w:hAnsi="Arial" w:cs="Arial"/>
          <w:sz w:val="20"/>
          <w:szCs w:val="20"/>
        </w:rPr>
        <w:tab/>
      </w: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cs="Arial"/>
          <w:sz w:val="20"/>
          <w:szCs w:val="20"/>
        </w:rPr>
      </w:pP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r w:rsidRPr="009B69C4">
        <w:rPr>
          <w:rFonts w:ascii="Arial" w:hAnsi="Arial"/>
          <w:sz w:val="20"/>
          <w:szCs w:val="20"/>
        </w:rPr>
        <w:t>Queen’s University Belfast</w:t>
      </w:r>
    </w:p>
    <w:p w:rsidR="00886658" w:rsidRPr="009B69C4" w:rsidRDefault="00886658" w:rsidP="00886658">
      <w:pPr>
        <w:pBdr>
          <w:top w:val="single" w:sz="4" w:space="1" w:color="auto"/>
          <w:left w:val="single" w:sz="4" w:space="4" w:color="auto"/>
          <w:bottom w:val="single" w:sz="4" w:space="1" w:color="auto"/>
          <w:right w:val="single" w:sz="4" w:space="4" w:color="auto"/>
        </w:pBdr>
        <w:jc w:val="center"/>
        <w:rPr>
          <w:rFonts w:ascii="Arial" w:hAnsi="Arial"/>
          <w:sz w:val="20"/>
          <w:szCs w:val="20"/>
        </w:rPr>
      </w:pP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r w:rsidRPr="009B69C4">
        <w:rPr>
          <w:rFonts w:ascii="Arial" w:hAnsi="Arial"/>
          <w:sz w:val="20"/>
          <w:szCs w:val="20"/>
          <w:u w:val="single"/>
        </w:rPr>
        <w:t>Name of Employee</w:t>
      </w:r>
      <w:r w:rsidRPr="009B69C4">
        <w:rPr>
          <w:rFonts w:ascii="Arial" w:hAnsi="Arial"/>
          <w:sz w:val="20"/>
          <w:szCs w:val="20"/>
        </w:rPr>
        <w:t>:</w:t>
      </w:r>
      <w:r w:rsidRPr="009B69C4">
        <w:rPr>
          <w:rFonts w:ascii="Arial" w:hAnsi="Arial"/>
          <w:sz w:val="20"/>
          <w:szCs w:val="20"/>
        </w:rPr>
        <w:tab/>
      </w:r>
      <w:r w:rsidRPr="009B69C4">
        <w:rPr>
          <w:rFonts w:ascii="Arial" w:hAnsi="Arial"/>
          <w:sz w:val="20"/>
          <w:szCs w:val="20"/>
        </w:rPr>
        <w:tab/>
      </w:r>
    </w:p>
    <w:p w:rsidR="000361DF" w:rsidRDefault="000361DF"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2C53C7" w:rsidRDefault="005A48BF" w:rsidP="00886658">
      <w:pPr>
        <w:pBdr>
          <w:top w:val="single" w:sz="4" w:space="1" w:color="auto"/>
          <w:left w:val="single" w:sz="4" w:space="4" w:color="auto"/>
          <w:bottom w:val="single" w:sz="4" w:space="1" w:color="auto"/>
          <w:right w:val="single" w:sz="4" w:space="4" w:color="auto"/>
        </w:pBdr>
        <w:rPr>
          <w:rFonts w:ascii="Arial" w:hAnsi="Arial"/>
          <w:sz w:val="20"/>
          <w:szCs w:val="20"/>
        </w:rPr>
      </w:pPr>
      <w:r>
        <w:rPr>
          <w:rFonts w:ascii="Arial" w:hAnsi="Arial"/>
          <w:sz w:val="20"/>
          <w:szCs w:val="20"/>
        </w:rPr>
        <w:t xml:space="preserve"> </w:t>
      </w:r>
    </w:p>
    <w:p w:rsidR="00721D0C" w:rsidRPr="009B69C4" w:rsidRDefault="00721D0C"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u w:val="single"/>
        </w:rPr>
      </w:pPr>
      <w:r w:rsidRPr="009B69C4">
        <w:rPr>
          <w:rFonts w:ascii="Arial" w:hAnsi="Arial"/>
          <w:sz w:val="20"/>
          <w:szCs w:val="20"/>
          <w:u w:val="single"/>
        </w:rPr>
        <w:t>Date of Employment</w:t>
      </w: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9B69C4" w:rsidRDefault="003C190A" w:rsidP="00DF3267">
      <w:pPr>
        <w:pBdr>
          <w:top w:val="single" w:sz="4" w:space="1" w:color="auto"/>
          <w:left w:val="single" w:sz="4" w:space="4" w:color="auto"/>
          <w:bottom w:val="single" w:sz="4" w:space="1" w:color="auto"/>
          <w:right w:val="single" w:sz="4" w:space="4" w:color="auto"/>
        </w:pBdr>
        <w:rPr>
          <w:rFonts w:ascii="Arial" w:hAnsi="Arial"/>
          <w:sz w:val="20"/>
          <w:szCs w:val="20"/>
        </w:rPr>
      </w:pPr>
      <w:r w:rsidRPr="009B69C4">
        <w:rPr>
          <w:rFonts w:ascii="Arial" w:hAnsi="Arial"/>
          <w:sz w:val="20"/>
          <w:szCs w:val="20"/>
        </w:rPr>
        <w:t>The</w:t>
      </w:r>
      <w:r w:rsidR="00886658" w:rsidRPr="009B69C4">
        <w:rPr>
          <w:rFonts w:ascii="Arial" w:hAnsi="Arial"/>
          <w:sz w:val="20"/>
          <w:szCs w:val="20"/>
        </w:rPr>
        <w:t xml:space="preserve"> date of the start of your period of continuous service with Queen’s University Belfast </w:t>
      </w:r>
      <w:r w:rsidR="00680610" w:rsidRPr="009B69C4">
        <w:rPr>
          <w:rFonts w:ascii="Arial" w:hAnsi="Arial"/>
          <w:sz w:val="20"/>
          <w:szCs w:val="20"/>
        </w:rPr>
        <w:t>is</w:t>
      </w:r>
      <w:r w:rsidR="00680610">
        <w:rPr>
          <w:rFonts w:ascii="Arial" w:hAnsi="Arial"/>
          <w:sz w:val="20"/>
          <w:szCs w:val="20"/>
        </w:rPr>
        <w:t xml:space="preserve"> a date to be agreed</w:t>
      </w:r>
      <w:r w:rsidR="00680610" w:rsidRPr="009B69C4">
        <w:rPr>
          <w:rFonts w:ascii="Arial" w:hAnsi="Arial"/>
          <w:sz w:val="20"/>
          <w:szCs w:val="20"/>
        </w:rPr>
        <w:t xml:space="preserve">.  </w:t>
      </w:r>
      <w:r w:rsidR="000C1033" w:rsidRPr="009B69C4">
        <w:rPr>
          <w:rFonts w:ascii="Arial" w:hAnsi="Arial"/>
          <w:sz w:val="20"/>
          <w:szCs w:val="20"/>
        </w:rPr>
        <w:t>P</w:t>
      </w:r>
      <w:r w:rsidR="00886658" w:rsidRPr="009B69C4">
        <w:rPr>
          <w:rFonts w:ascii="Arial" w:hAnsi="Arial"/>
          <w:sz w:val="20"/>
          <w:szCs w:val="20"/>
        </w:rPr>
        <w:t>revious employment with any other University or employer does not count as part of your period of continuous employment with this University.</w:t>
      </w: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9B69C4" w:rsidRDefault="00886658" w:rsidP="00DF3267">
      <w:pPr>
        <w:pBdr>
          <w:top w:val="single" w:sz="4" w:space="1" w:color="auto"/>
          <w:left w:val="single" w:sz="4" w:space="4" w:color="auto"/>
          <w:bottom w:val="single" w:sz="4" w:space="1" w:color="auto"/>
          <w:right w:val="single" w:sz="4" w:space="4" w:color="auto"/>
        </w:pBdr>
        <w:rPr>
          <w:rFonts w:ascii="Arial" w:hAnsi="Arial"/>
          <w:sz w:val="20"/>
          <w:szCs w:val="20"/>
        </w:rPr>
      </w:pPr>
      <w:r w:rsidRPr="009B69C4">
        <w:rPr>
          <w:rFonts w:ascii="Arial" w:hAnsi="Arial"/>
          <w:sz w:val="20"/>
          <w:szCs w:val="20"/>
        </w:rPr>
        <w:t xml:space="preserve">If you are a temporary or fixed term member of staff, the end date of your employment is set out in your appointment letter.  </w:t>
      </w:r>
    </w:p>
    <w:p w:rsidR="00886658" w:rsidRPr="009B69C4" w:rsidRDefault="00886658" w:rsidP="00886658">
      <w:pPr>
        <w:pBdr>
          <w:top w:val="single" w:sz="4" w:space="1" w:color="auto"/>
          <w:left w:val="single" w:sz="4" w:space="4" w:color="auto"/>
          <w:bottom w:val="single" w:sz="4" w:space="1" w:color="auto"/>
          <w:right w:val="single" w:sz="4" w:space="4" w:color="auto"/>
        </w:pBdr>
        <w:rPr>
          <w:rFonts w:ascii="Arial" w:hAnsi="Arial"/>
          <w:sz w:val="20"/>
          <w:szCs w:val="20"/>
        </w:rPr>
      </w:pPr>
    </w:p>
    <w:p w:rsidR="00886658" w:rsidRPr="009B69C4" w:rsidRDefault="00886658" w:rsidP="00886658">
      <w:pPr>
        <w:rPr>
          <w:rFonts w:ascii="Arial" w:hAnsi="Arial"/>
          <w:sz w:val="22"/>
          <w:szCs w:val="22"/>
        </w:rPr>
      </w:pPr>
    </w:p>
    <w:p w:rsidR="00886658" w:rsidRPr="009B69C4" w:rsidRDefault="00886658" w:rsidP="00886658">
      <w:pPr>
        <w:rPr>
          <w:rFonts w:ascii="Arial" w:hAnsi="Arial"/>
          <w:sz w:val="20"/>
          <w:szCs w:val="20"/>
        </w:rPr>
      </w:pPr>
      <w:r w:rsidRPr="009B69C4">
        <w:rPr>
          <w:rFonts w:ascii="Arial" w:hAnsi="Arial"/>
          <w:sz w:val="20"/>
          <w:szCs w:val="20"/>
        </w:rPr>
        <w:t>1.</w:t>
      </w:r>
      <w:r w:rsidRPr="009B69C4">
        <w:rPr>
          <w:rFonts w:ascii="Arial" w:hAnsi="Arial"/>
          <w:sz w:val="20"/>
          <w:szCs w:val="20"/>
        </w:rPr>
        <w:tab/>
      </w:r>
      <w:r w:rsidRPr="009B69C4">
        <w:rPr>
          <w:rFonts w:ascii="Arial" w:hAnsi="Arial"/>
          <w:sz w:val="20"/>
          <w:szCs w:val="20"/>
          <w:u w:val="single"/>
        </w:rPr>
        <w:t>Job Title</w:t>
      </w:r>
    </w:p>
    <w:p w:rsidR="00886658" w:rsidRPr="009B69C4" w:rsidRDefault="00886658" w:rsidP="00886658">
      <w:pPr>
        <w:rPr>
          <w:rFonts w:ascii="Arial" w:hAnsi="Arial"/>
          <w:sz w:val="20"/>
          <w:szCs w:val="20"/>
        </w:rPr>
      </w:pPr>
    </w:p>
    <w:p w:rsidR="00886658" w:rsidRPr="009B69C4" w:rsidRDefault="00886658" w:rsidP="00886658">
      <w:pPr>
        <w:rPr>
          <w:rFonts w:ascii="Arial" w:hAnsi="Arial"/>
          <w:sz w:val="20"/>
          <w:szCs w:val="20"/>
        </w:rPr>
      </w:pPr>
      <w:r w:rsidRPr="009B69C4">
        <w:rPr>
          <w:rFonts w:ascii="Arial" w:hAnsi="Arial"/>
          <w:sz w:val="20"/>
          <w:szCs w:val="20"/>
        </w:rPr>
        <w:tab/>
        <w:t>Your job title is as given in your appointment letter.</w:t>
      </w:r>
    </w:p>
    <w:p w:rsidR="00886658" w:rsidRPr="009B69C4" w:rsidRDefault="00886658" w:rsidP="00886658">
      <w:pPr>
        <w:rPr>
          <w:rFonts w:ascii="Arial" w:hAnsi="Arial"/>
          <w:sz w:val="20"/>
          <w:szCs w:val="20"/>
        </w:rPr>
      </w:pPr>
    </w:p>
    <w:p w:rsidR="00886658" w:rsidRPr="009B69C4" w:rsidRDefault="00886658" w:rsidP="00886658">
      <w:pPr>
        <w:rPr>
          <w:rFonts w:ascii="Arial" w:hAnsi="Arial"/>
          <w:sz w:val="20"/>
          <w:szCs w:val="20"/>
          <w:u w:val="single"/>
        </w:rPr>
      </w:pPr>
      <w:r w:rsidRPr="009B69C4">
        <w:rPr>
          <w:rFonts w:ascii="Arial" w:hAnsi="Arial"/>
          <w:sz w:val="20"/>
          <w:szCs w:val="20"/>
        </w:rPr>
        <w:t>2.</w:t>
      </w:r>
      <w:r w:rsidRPr="009B69C4">
        <w:rPr>
          <w:rFonts w:ascii="Arial" w:hAnsi="Arial"/>
          <w:sz w:val="20"/>
          <w:szCs w:val="20"/>
        </w:rPr>
        <w:tab/>
      </w:r>
      <w:r w:rsidRPr="009B69C4">
        <w:rPr>
          <w:rFonts w:ascii="Arial" w:hAnsi="Arial"/>
          <w:sz w:val="20"/>
          <w:szCs w:val="20"/>
          <w:u w:val="single"/>
        </w:rPr>
        <w:t>Place of Work</w:t>
      </w:r>
    </w:p>
    <w:p w:rsidR="00886658" w:rsidRPr="009B69C4" w:rsidRDefault="00886658" w:rsidP="00886658">
      <w:pPr>
        <w:rPr>
          <w:rFonts w:ascii="Arial" w:hAnsi="Arial"/>
          <w:sz w:val="20"/>
          <w:szCs w:val="20"/>
          <w:u w:val="single"/>
        </w:rPr>
      </w:pPr>
    </w:p>
    <w:p w:rsidR="00886658" w:rsidRPr="009B69C4" w:rsidRDefault="00886658" w:rsidP="00DF3267">
      <w:pPr>
        <w:ind w:left="720"/>
        <w:rPr>
          <w:rFonts w:ascii="Arial" w:hAnsi="Arial"/>
          <w:sz w:val="20"/>
          <w:szCs w:val="20"/>
        </w:rPr>
      </w:pPr>
      <w:r w:rsidRPr="009B69C4">
        <w:rPr>
          <w:rFonts w:ascii="Arial" w:hAnsi="Arial"/>
          <w:sz w:val="20"/>
          <w:szCs w:val="20"/>
        </w:rPr>
        <w:t>Your appointme</w:t>
      </w:r>
      <w:r w:rsidR="00521D8E" w:rsidRPr="009B69C4">
        <w:rPr>
          <w:rFonts w:ascii="Arial" w:hAnsi="Arial"/>
          <w:sz w:val="20"/>
          <w:szCs w:val="20"/>
        </w:rPr>
        <w:t>nt letter details your current D</w:t>
      </w:r>
      <w:r w:rsidRPr="009B69C4">
        <w:rPr>
          <w:rFonts w:ascii="Arial" w:hAnsi="Arial"/>
          <w:sz w:val="20"/>
          <w:szCs w:val="20"/>
        </w:rPr>
        <w:t>epartment/</w:t>
      </w:r>
      <w:r w:rsidR="00521D8E" w:rsidRPr="009B69C4">
        <w:rPr>
          <w:rFonts w:ascii="Arial" w:hAnsi="Arial"/>
          <w:sz w:val="20"/>
          <w:szCs w:val="20"/>
        </w:rPr>
        <w:t>S</w:t>
      </w:r>
      <w:r w:rsidR="00E30E64" w:rsidRPr="009B69C4">
        <w:rPr>
          <w:rFonts w:ascii="Arial" w:hAnsi="Arial"/>
          <w:sz w:val="20"/>
          <w:szCs w:val="20"/>
        </w:rPr>
        <w:t>chool/</w:t>
      </w:r>
      <w:r w:rsidRPr="009B69C4">
        <w:rPr>
          <w:rFonts w:ascii="Arial" w:hAnsi="Arial"/>
          <w:sz w:val="20"/>
          <w:szCs w:val="20"/>
        </w:rPr>
        <w:t>location.  However, your appointment is to the University as a whole rather than to an individual Department/</w:t>
      </w:r>
      <w:r w:rsidR="00E30E64" w:rsidRPr="009B69C4">
        <w:rPr>
          <w:rFonts w:ascii="Arial" w:hAnsi="Arial"/>
          <w:sz w:val="20"/>
          <w:szCs w:val="20"/>
        </w:rPr>
        <w:t>School/</w:t>
      </w:r>
      <w:r w:rsidRPr="009B69C4">
        <w:rPr>
          <w:rFonts w:ascii="Arial" w:hAnsi="Arial"/>
          <w:sz w:val="20"/>
          <w:szCs w:val="20"/>
        </w:rPr>
        <w:t>location. The Department/</w:t>
      </w:r>
      <w:r w:rsidR="00E30E64" w:rsidRPr="009B69C4">
        <w:rPr>
          <w:rFonts w:ascii="Arial" w:hAnsi="Arial"/>
          <w:sz w:val="20"/>
          <w:szCs w:val="20"/>
        </w:rPr>
        <w:t>School/</w:t>
      </w:r>
      <w:r w:rsidRPr="009B69C4">
        <w:rPr>
          <w:rFonts w:ascii="Arial" w:hAnsi="Arial"/>
          <w:sz w:val="20"/>
          <w:szCs w:val="20"/>
        </w:rPr>
        <w:t>location, along with other details, will be reviewed from time to time to take account of changing requirements or circumstances within the University and may be altered after appropriate</w:t>
      </w:r>
      <w:r w:rsidRPr="009B69C4">
        <w:rPr>
          <w:rFonts w:ascii="Arial" w:hAnsi="Arial"/>
          <w:sz w:val="20"/>
        </w:rPr>
        <w:t xml:space="preserve"> consultation.</w:t>
      </w:r>
    </w:p>
    <w:p w:rsidR="00886658" w:rsidRPr="009B69C4" w:rsidRDefault="00886658" w:rsidP="00886658">
      <w:pPr>
        <w:jc w:val="both"/>
        <w:rPr>
          <w:rFonts w:ascii="Arial" w:hAnsi="Arial"/>
          <w:sz w:val="20"/>
        </w:rPr>
      </w:pPr>
    </w:p>
    <w:p w:rsidR="00886658" w:rsidRPr="009B69C4" w:rsidRDefault="00886658" w:rsidP="00886658">
      <w:pPr>
        <w:jc w:val="both"/>
        <w:rPr>
          <w:rFonts w:ascii="Arial" w:hAnsi="Arial"/>
          <w:sz w:val="20"/>
          <w:u w:val="single"/>
        </w:rPr>
      </w:pPr>
      <w:r w:rsidRPr="009B69C4">
        <w:rPr>
          <w:rFonts w:ascii="Arial" w:hAnsi="Arial"/>
          <w:sz w:val="20"/>
        </w:rPr>
        <w:t>3.</w:t>
      </w:r>
      <w:r w:rsidRPr="009B69C4">
        <w:rPr>
          <w:rFonts w:ascii="Arial" w:hAnsi="Arial"/>
          <w:sz w:val="20"/>
        </w:rPr>
        <w:tab/>
      </w:r>
      <w:r w:rsidRPr="009B69C4">
        <w:rPr>
          <w:rFonts w:ascii="Arial" w:hAnsi="Arial"/>
          <w:sz w:val="20"/>
          <w:u w:val="single"/>
        </w:rPr>
        <w:t>Remuneration</w:t>
      </w:r>
    </w:p>
    <w:p w:rsidR="00886658" w:rsidRPr="009B69C4" w:rsidRDefault="00886658" w:rsidP="00886658">
      <w:pPr>
        <w:jc w:val="both"/>
        <w:rPr>
          <w:rFonts w:ascii="Arial" w:hAnsi="Arial"/>
          <w:sz w:val="20"/>
          <w:u w:val="single"/>
        </w:rPr>
      </w:pPr>
    </w:p>
    <w:p w:rsidR="00886658" w:rsidRPr="009B69C4" w:rsidRDefault="00886658" w:rsidP="00DF3267">
      <w:pPr>
        <w:ind w:left="720"/>
        <w:rPr>
          <w:rFonts w:ascii="Arial" w:hAnsi="Arial"/>
          <w:sz w:val="20"/>
        </w:rPr>
      </w:pPr>
      <w:r w:rsidRPr="009B69C4">
        <w:rPr>
          <w:rFonts w:ascii="Arial" w:hAnsi="Arial"/>
          <w:sz w:val="20"/>
        </w:rPr>
        <w:t>Appointments are made on behalf of the Vice-Chancellor, by letter, showing salary on commencement.</w:t>
      </w:r>
    </w:p>
    <w:p w:rsidR="00886658" w:rsidRPr="009B69C4" w:rsidRDefault="00886658" w:rsidP="00886658">
      <w:pPr>
        <w:ind w:left="720"/>
        <w:jc w:val="both"/>
        <w:rPr>
          <w:rFonts w:ascii="Arial" w:hAnsi="Arial"/>
          <w:sz w:val="20"/>
        </w:rPr>
      </w:pPr>
    </w:p>
    <w:p w:rsidR="00886658" w:rsidRPr="009B69C4" w:rsidRDefault="00886658" w:rsidP="00DF3267">
      <w:pPr>
        <w:ind w:left="1440" w:hanging="720"/>
        <w:rPr>
          <w:rFonts w:ascii="Arial" w:hAnsi="Arial"/>
          <w:sz w:val="20"/>
        </w:rPr>
      </w:pPr>
      <w:r w:rsidRPr="009B69C4">
        <w:rPr>
          <w:rFonts w:ascii="Arial" w:hAnsi="Arial"/>
          <w:sz w:val="20"/>
        </w:rPr>
        <w:t>i)</w:t>
      </w:r>
      <w:r w:rsidRPr="009B69C4">
        <w:rPr>
          <w:rFonts w:ascii="Arial" w:hAnsi="Arial"/>
          <w:sz w:val="20"/>
        </w:rPr>
        <w:tab/>
        <w:t>Please refer to your appointment letter for details of your salary.</w:t>
      </w:r>
    </w:p>
    <w:p w:rsidR="00886658" w:rsidRPr="009B69C4" w:rsidRDefault="00886658" w:rsidP="00886658">
      <w:pPr>
        <w:ind w:left="720"/>
        <w:jc w:val="both"/>
        <w:rPr>
          <w:rFonts w:ascii="Arial" w:hAnsi="Arial"/>
          <w:sz w:val="20"/>
        </w:rPr>
      </w:pPr>
    </w:p>
    <w:p w:rsidR="00886658" w:rsidRPr="009B69C4" w:rsidRDefault="00886658" w:rsidP="00DF3267">
      <w:pPr>
        <w:ind w:left="1440" w:hanging="720"/>
        <w:rPr>
          <w:rFonts w:ascii="Arial" w:hAnsi="Arial"/>
          <w:sz w:val="20"/>
        </w:rPr>
      </w:pPr>
      <w:r w:rsidRPr="009B69C4">
        <w:rPr>
          <w:rFonts w:ascii="Arial" w:hAnsi="Arial"/>
          <w:sz w:val="20"/>
        </w:rPr>
        <w:t>ii)</w:t>
      </w:r>
      <w:r w:rsidRPr="009B69C4">
        <w:rPr>
          <w:rFonts w:ascii="Arial" w:hAnsi="Arial"/>
          <w:sz w:val="20"/>
        </w:rPr>
        <w:tab/>
        <w:t>Increments on scale, where payable, take effect from a common incremental date of</w:t>
      </w:r>
      <w:r w:rsidR="00AC4CA9">
        <w:rPr>
          <w:rFonts w:ascii="Arial" w:hAnsi="Arial"/>
          <w:sz w:val="20"/>
        </w:rPr>
        <w:t xml:space="preserve">  </w:t>
      </w:r>
      <w:r w:rsidRPr="009B69C4">
        <w:rPr>
          <w:rFonts w:ascii="Arial" w:hAnsi="Arial"/>
          <w:sz w:val="20"/>
        </w:rPr>
        <w:t xml:space="preserve"> 1 August each year, unless as otherwise stated in your appointment letter.</w:t>
      </w:r>
    </w:p>
    <w:p w:rsidR="00886658" w:rsidRPr="009B69C4" w:rsidRDefault="00886658" w:rsidP="00886658">
      <w:pPr>
        <w:ind w:left="1440" w:hanging="720"/>
        <w:jc w:val="both"/>
        <w:rPr>
          <w:rFonts w:ascii="Arial" w:hAnsi="Arial"/>
          <w:sz w:val="20"/>
        </w:rPr>
      </w:pPr>
    </w:p>
    <w:p w:rsidR="00886658" w:rsidRPr="009B69C4" w:rsidRDefault="00886658" w:rsidP="00DF3267">
      <w:pPr>
        <w:ind w:left="1440" w:hanging="720"/>
        <w:rPr>
          <w:rFonts w:ascii="Arial" w:hAnsi="Arial"/>
          <w:sz w:val="20"/>
        </w:rPr>
      </w:pPr>
      <w:r w:rsidRPr="009B69C4">
        <w:rPr>
          <w:rFonts w:ascii="Arial" w:hAnsi="Arial"/>
          <w:sz w:val="20"/>
        </w:rPr>
        <w:t>iii)</w:t>
      </w:r>
      <w:r w:rsidRPr="009B69C4">
        <w:rPr>
          <w:rFonts w:ascii="Arial" w:hAnsi="Arial"/>
          <w:sz w:val="20"/>
        </w:rPr>
        <w:tab/>
        <w:t>Salary is payable monthly in arrears into a bank account nominated by you.</w:t>
      </w:r>
    </w:p>
    <w:p w:rsidR="00886658" w:rsidRPr="009B69C4" w:rsidRDefault="00886658" w:rsidP="00886658">
      <w:pPr>
        <w:ind w:left="1440" w:hanging="720"/>
        <w:jc w:val="both"/>
        <w:rPr>
          <w:rFonts w:ascii="Arial" w:hAnsi="Arial"/>
          <w:sz w:val="20"/>
        </w:rPr>
      </w:pPr>
    </w:p>
    <w:p w:rsidR="00886658" w:rsidRPr="009B69C4" w:rsidRDefault="00886658" w:rsidP="00DF3267">
      <w:pPr>
        <w:ind w:left="1440" w:hanging="720"/>
        <w:rPr>
          <w:rFonts w:ascii="Arial" w:hAnsi="Arial"/>
          <w:sz w:val="20"/>
        </w:rPr>
      </w:pPr>
      <w:r w:rsidRPr="009B69C4">
        <w:rPr>
          <w:rFonts w:ascii="Arial" w:hAnsi="Arial"/>
          <w:sz w:val="20"/>
        </w:rPr>
        <w:t>iv)</w:t>
      </w:r>
      <w:r w:rsidRPr="009B69C4">
        <w:rPr>
          <w:rFonts w:ascii="Arial" w:hAnsi="Arial"/>
          <w:sz w:val="20"/>
        </w:rPr>
        <w:tab/>
        <w:t xml:space="preserve">Additional specified allowances are payable only to those who work the appropriate arrangement as specified in your appointment letter. These will normally only relate to shift premia, emergency call out and first aid. </w:t>
      </w:r>
    </w:p>
    <w:p w:rsidR="00886658" w:rsidRPr="009B69C4" w:rsidRDefault="00886658" w:rsidP="00886658">
      <w:pPr>
        <w:ind w:left="720"/>
        <w:rPr>
          <w:rFonts w:ascii="Arial" w:hAnsi="Arial"/>
          <w:sz w:val="20"/>
        </w:rPr>
      </w:pPr>
    </w:p>
    <w:p w:rsidR="00886658" w:rsidRDefault="00886658" w:rsidP="00886658">
      <w:pPr>
        <w:ind w:left="1440" w:hanging="720"/>
        <w:jc w:val="both"/>
        <w:rPr>
          <w:rFonts w:ascii="Arial" w:hAnsi="Arial"/>
          <w:sz w:val="20"/>
        </w:rPr>
      </w:pPr>
    </w:p>
    <w:p w:rsidR="00715B63" w:rsidRPr="009B69C4" w:rsidRDefault="008D6828" w:rsidP="00886658">
      <w:pPr>
        <w:ind w:left="1440" w:hanging="720"/>
        <w:jc w:val="both"/>
        <w:rPr>
          <w:rFonts w:ascii="Arial" w:hAnsi="Arial"/>
          <w:sz w:val="20"/>
        </w:rPr>
      </w:pPr>
      <w:r>
        <w:rPr>
          <w:rFonts w:ascii="Arial" w:hAnsi="Arial"/>
          <w:sz w:val="20"/>
        </w:rPr>
        <w:br w:type="page"/>
      </w:r>
    </w:p>
    <w:p w:rsidR="00886658" w:rsidRPr="009B69C4" w:rsidRDefault="00886658" w:rsidP="00886658">
      <w:pPr>
        <w:jc w:val="both"/>
        <w:rPr>
          <w:rFonts w:ascii="Arial" w:hAnsi="Arial"/>
          <w:sz w:val="20"/>
        </w:rPr>
      </w:pPr>
      <w:r w:rsidRPr="009B69C4">
        <w:rPr>
          <w:rFonts w:ascii="Arial" w:hAnsi="Arial"/>
          <w:sz w:val="20"/>
        </w:rPr>
        <w:lastRenderedPageBreak/>
        <w:t>4.</w:t>
      </w:r>
      <w:r w:rsidRPr="009B69C4">
        <w:rPr>
          <w:rFonts w:ascii="Arial" w:hAnsi="Arial"/>
          <w:sz w:val="20"/>
        </w:rPr>
        <w:tab/>
      </w:r>
      <w:r w:rsidRPr="009B69C4">
        <w:rPr>
          <w:rFonts w:ascii="Arial" w:hAnsi="Arial"/>
          <w:sz w:val="20"/>
          <w:u w:val="single"/>
        </w:rPr>
        <w:t>Hours of Work</w:t>
      </w:r>
    </w:p>
    <w:p w:rsidR="00886658" w:rsidRPr="009B69C4" w:rsidRDefault="00886658" w:rsidP="00886658">
      <w:pPr>
        <w:jc w:val="both"/>
        <w:rPr>
          <w:rFonts w:ascii="Arial" w:hAnsi="Arial"/>
          <w:sz w:val="20"/>
        </w:rPr>
      </w:pPr>
    </w:p>
    <w:p w:rsidR="00C126EE" w:rsidRPr="00C126EE" w:rsidRDefault="00C126EE" w:rsidP="00C126EE">
      <w:pPr>
        <w:numPr>
          <w:ilvl w:val="0"/>
          <w:numId w:val="6"/>
        </w:numPr>
        <w:rPr>
          <w:rFonts w:ascii="Arial" w:hAnsi="Arial"/>
          <w:sz w:val="20"/>
          <w:u w:val="single"/>
        </w:rPr>
      </w:pPr>
      <w:r w:rsidRPr="00C126EE">
        <w:rPr>
          <w:rFonts w:ascii="Arial" w:hAnsi="Arial"/>
          <w:sz w:val="20"/>
          <w:u w:val="single"/>
        </w:rPr>
        <w:t>Staff at Grades 1-5</w:t>
      </w:r>
    </w:p>
    <w:p w:rsidR="00C126EE" w:rsidRDefault="00C126EE" w:rsidP="00DF3267">
      <w:pPr>
        <w:ind w:left="720"/>
        <w:rPr>
          <w:rFonts w:ascii="Arial" w:hAnsi="Arial"/>
          <w:sz w:val="20"/>
        </w:rPr>
      </w:pPr>
    </w:p>
    <w:p w:rsidR="00886658" w:rsidRPr="009B69C4" w:rsidRDefault="00886658" w:rsidP="00C126EE">
      <w:pPr>
        <w:ind w:left="1440"/>
        <w:rPr>
          <w:rFonts w:ascii="Arial" w:hAnsi="Arial"/>
          <w:sz w:val="20"/>
        </w:rPr>
      </w:pPr>
      <w:r w:rsidRPr="009B69C4">
        <w:rPr>
          <w:rFonts w:ascii="Arial" w:hAnsi="Arial"/>
          <w:sz w:val="20"/>
        </w:rPr>
        <w:t xml:space="preserve">For those staff at Grades 1-5, the normal working week will be 37 hours per week except for those staff where separate arrangements are agreed to facilitate efficient working practices which may include 7 day working arrangements.   </w:t>
      </w:r>
    </w:p>
    <w:p w:rsidR="00886658" w:rsidRPr="009B69C4" w:rsidRDefault="00886658" w:rsidP="00C126EE">
      <w:pPr>
        <w:ind w:left="1440"/>
        <w:jc w:val="both"/>
        <w:rPr>
          <w:rFonts w:ascii="Arial" w:hAnsi="Arial"/>
          <w:sz w:val="20"/>
        </w:rPr>
      </w:pPr>
    </w:p>
    <w:p w:rsidR="00886658" w:rsidRPr="009B69C4" w:rsidRDefault="00886658" w:rsidP="00C126EE">
      <w:pPr>
        <w:ind w:left="1440"/>
        <w:rPr>
          <w:rFonts w:ascii="Arial" w:hAnsi="Arial"/>
          <w:sz w:val="20"/>
          <w:szCs w:val="20"/>
        </w:rPr>
      </w:pPr>
      <w:r w:rsidRPr="009B69C4">
        <w:rPr>
          <w:rFonts w:ascii="Arial" w:hAnsi="Arial"/>
          <w:sz w:val="20"/>
          <w:szCs w:val="20"/>
        </w:rPr>
        <w:t>Specific working arrangements are as determined by your manager to meet the operational requirements of the department.  Any variation will be made after appropriate consultation.</w:t>
      </w:r>
    </w:p>
    <w:p w:rsidR="00886658" w:rsidRPr="009B69C4" w:rsidRDefault="00886658" w:rsidP="00C126EE">
      <w:pPr>
        <w:ind w:left="1440"/>
        <w:jc w:val="both"/>
        <w:rPr>
          <w:rFonts w:ascii="Arial" w:hAnsi="Arial"/>
          <w:sz w:val="20"/>
          <w:szCs w:val="20"/>
        </w:rPr>
      </w:pPr>
    </w:p>
    <w:p w:rsidR="00886658" w:rsidRPr="009B69C4" w:rsidRDefault="00886658" w:rsidP="00C126EE">
      <w:pPr>
        <w:ind w:left="1440"/>
        <w:rPr>
          <w:rFonts w:ascii="Arial" w:hAnsi="Arial"/>
          <w:sz w:val="20"/>
          <w:szCs w:val="20"/>
        </w:rPr>
      </w:pPr>
      <w:r w:rsidRPr="009B69C4">
        <w:rPr>
          <w:rFonts w:ascii="Arial" w:hAnsi="Arial"/>
          <w:sz w:val="20"/>
          <w:szCs w:val="20"/>
        </w:rPr>
        <w:t xml:space="preserve">Overtime working should not form a regular part of your working week except in circumstances where a normal working week beyond 37 hours is necessary.  </w:t>
      </w:r>
    </w:p>
    <w:p w:rsidR="00886658" w:rsidRPr="009B69C4" w:rsidRDefault="00886658" w:rsidP="00886658">
      <w:pPr>
        <w:ind w:left="720"/>
        <w:jc w:val="both"/>
        <w:rPr>
          <w:rFonts w:ascii="Arial" w:hAnsi="Arial"/>
          <w:sz w:val="20"/>
        </w:rPr>
      </w:pPr>
    </w:p>
    <w:p w:rsidR="00886658" w:rsidRPr="009B69C4" w:rsidRDefault="00886658" w:rsidP="00C126EE">
      <w:pPr>
        <w:numPr>
          <w:ilvl w:val="0"/>
          <w:numId w:val="7"/>
        </w:numPr>
        <w:ind w:left="1800"/>
        <w:rPr>
          <w:rFonts w:ascii="Arial" w:hAnsi="Arial"/>
          <w:sz w:val="20"/>
        </w:rPr>
      </w:pPr>
      <w:r w:rsidRPr="009B69C4">
        <w:rPr>
          <w:rFonts w:ascii="Arial" w:hAnsi="Arial"/>
          <w:sz w:val="20"/>
        </w:rPr>
        <w:t xml:space="preserve">In many instances staff </w:t>
      </w:r>
      <w:r w:rsidR="00C126EE">
        <w:rPr>
          <w:rFonts w:ascii="Arial" w:hAnsi="Arial"/>
          <w:sz w:val="20"/>
        </w:rPr>
        <w:t>at Grades</w:t>
      </w:r>
      <w:r w:rsidRPr="009B69C4">
        <w:rPr>
          <w:rFonts w:ascii="Arial" w:hAnsi="Arial"/>
          <w:sz w:val="20"/>
        </w:rPr>
        <w:t xml:space="preserve"> 1-5 will not normally be paid overtime but will, in agreement with their line manager</w:t>
      </w:r>
      <w:bookmarkStart w:id="0" w:name="_GoBack"/>
      <w:bookmarkEnd w:id="0"/>
      <w:r w:rsidRPr="009B69C4">
        <w:rPr>
          <w:rFonts w:ascii="Arial" w:hAnsi="Arial"/>
          <w:sz w:val="20"/>
        </w:rPr>
        <w:t>, take time off in lieu</w:t>
      </w:r>
      <w:r w:rsidR="00BD0AE1">
        <w:rPr>
          <w:rFonts w:ascii="Arial" w:hAnsi="Arial"/>
          <w:sz w:val="20"/>
        </w:rPr>
        <w:t xml:space="preserve"> a</w:t>
      </w:r>
      <w:r w:rsidR="00994AC4">
        <w:rPr>
          <w:rFonts w:ascii="Arial" w:hAnsi="Arial"/>
          <w:sz w:val="20"/>
        </w:rPr>
        <w:t>t time and a half</w:t>
      </w:r>
      <w:r w:rsidRPr="009B69C4">
        <w:rPr>
          <w:rFonts w:ascii="Arial" w:hAnsi="Arial"/>
          <w:sz w:val="20"/>
        </w:rPr>
        <w:t>.</w:t>
      </w:r>
    </w:p>
    <w:p w:rsidR="00886658" w:rsidRPr="009B69C4" w:rsidRDefault="00886658" w:rsidP="00C126EE">
      <w:pPr>
        <w:ind w:left="1080"/>
        <w:jc w:val="both"/>
        <w:rPr>
          <w:rFonts w:ascii="Arial" w:hAnsi="Arial"/>
          <w:sz w:val="20"/>
        </w:rPr>
      </w:pPr>
    </w:p>
    <w:p w:rsidR="00886658" w:rsidRDefault="00886658" w:rsidP="00C126EE">
      <w:pPr>
        <w:numPr>
          <w:ilvl w:val="0"/>
          <w:numId w:val="7"/>
        </w:numPr>
        <w:ind w:left="1800"/>
        <w:rPr>
          <w:rFonts w:ascii="Arial" w:hAnsi="Arial"/>
          <w:sz w:val="20"/>
        </w:rPr>
      </w:pPr>
      <w:r w:rsidRPr="009B69C4">
        <w:rPr>
          <w:rFonts w:ascii="Arial" w:hAnsi="Arial"/>
          <w:sz w:val="20"/>
        </w:rPr>
        <w:t>Where overtime payments are necessary to cover work beyond 37 hours, this will be paid at a single harmonised rate of time and a half except for University recognised/public holidays which will be paid at double time.  Overtime will apply in circumstances where a longer week beyond 37 hours is necessary.</w:t>
      </w:r>
    </w:p>
    <w:p w:rsidR="00C126EE" w:rsidRDefault="00C126EE" w:rsidP="00DF3267">
      <w:pPr>
        <w:ind w:left="720"/>
        <w:rPr>
          <w:rFonts w:ascii="Arial" w:hAnsi="Arial"/>
          <w:sz w:val="20"/>
        </w:rPr>
      </w:pPr>
    </w:p>
    <w:p w:rsidR="00C126EE" w:rsidRPr="00C126EE" w:rsidRDefault="00C126EE" w:rsidP="00C126EE">
      <w:pPr>
        <w:numPr>
          <w:ilvl w:val="0"/>
          <w:numId w:val="6"/>
        </w:numPr>
        <w:rPr>
          <w:rFonts w:ascii="Arial" w:hAnsi="Arial"/>
          <w:sz w:val="20"/>
          <w:u w:val="single"/>
        </w:rPr>
      </w:pPr>
      <w:r w:rsidRPr="00C126EE">
        <w:rPr>
          <w:rFonts w:ascii="Arial" w:hAnsi="Arial"/>
          <w:sz w:val="20"/>
          <w:u w:val="single"/>
        </w:rPr>
        <w:t>Staff at Grades 6/AC1 and above</w:t>
      </w:r>
    </w:p>
    <w:p w:rsidR="00C126EE" w:rsidRDefault="00C126EE" w:rsidP="00C126EE">
      <w:pPr>
        <w:ind w:left="1440"/>
        <w:rPr>
          <w:rFonts w:ascii="Arial" w:hAnsi="Arial"/>
          <w:sz w:val="20"/>
        </w:rPr>
      </w:pPr>
    </w:p>
    <w:p w:rsidR="00C126EE" w:rsidRPr="00C126EE" w:rsidRDefault="00C126EE" w:rsidP="00C126EE">
      <w:pPr>
        <w:ind w:left="1440"/>
        <w:jc w:val="both"/>
        <w:rPr>
          <w:rFonts w:ascii="Arial" w:hAnsi="Arial" w:cs="Arial"/>
          <w:sz w:val="20"/>
          <w:szCs w:val="20"/>
        </w:rPr>
      </w:pPr>
      <w:r w:rsidRPr="00C126EE">
        <w:rPr>
          <w:rFonts w:ascii="Arial" w:hAnsi="Arial" w:cs="Arial"/>
          <w:iCs/>
          <w:sz w:val="20"/>
          <w:szCs w:val="20"/>
        </w:rPr>
        <w:t xml:space="preserve">The working hours of staff at Grades 6/AC1 and above </w:t>
      </w:r>
      <w:r w:rsidR="001C79EB">
        <w:rPr>
          <w:rFonts w:ascii="Arial" w:hAnsi="Arial" w:cs="Arial"/>
          <w:iCs/>
          <w:sz w:val="20"/>
          <w:szCs w:val="20"/>
        </w:rPr>
        <w:t>are</w:t>
      </w:r>
      <w:r w:rsidRPr="00C126EE">
        <w:rPr>
          <w:rFonts w:ascii="Arial" w:hAnsi="Arial" w:cs="Arial"/>
          <w:iCs/>
          <w:sz w:val="20"/>
          <w:szCs w:val="20"/>
        </w:rPr>
        <w:t xml:space="preserve"> based on normal working hours of 37 per week, together with such additional hours as are required to complete and fulfil their duties.</w:t>
      </w:r>
    </w:p>
    <w:p w:rsidR="00886658" w:rsidRPr="009B69C4" w:rsidRDefault="00886658" w:rsidP="00886658">
      <w:pPr>
        <w:jc w:val="both"/>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5.</w:t>
      </w:r>
      <w:r w:rsidRPr="009B69C4">
        <w:rPr>
          <w:rFonts w:ascii="Arial" w:hAnsi="Arial"/>
          <w:sz w:val="20"/>
        </w:rPr>
        <w:tab/>
      </w:r>
      <w:r w:rsidRPr="009B69C4">
        <w:rPr>
          <w:rFonts w:ascii="Arial" w:hAnsi="Arial"/>
          <w:sz w:val="20"/>
          <w:u w:val="single"/>
        </w:rPr>
        <w:t>Holiday Entitlement</w:t>
      </w:r>
    </w:p>
    <w:p w:rsidR="00886658" w:rsidRPr="009B69C4" w:rsidRDefault="00886658" w:rsidP="00886658">
      <w:pPr>
        <w:jc w:val="both"/>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ab/>
        <w:t>The University’s holiday leave year runs from 1</w:t>
      </w:r>
      <w:r w:rsidR="005D0ADB" w:rsidRPr="009B69C4">
        <w:rPr>
          <w:rFonts w:ascii="Arial" w:hAnsi="Arial"/>
          <w:sz w:val="20"/>
        </w:rPr>
        <w:t xml:space="preserve"> </w:t>
      </w:r>
      <w:r w:rsidRPr="009B69C4">
        <w:rPr>
          <w:rFonts w:ascii="Arial" w:hAnsi="Arial"/>
          <w:sz w:val="20"/>
        </w:rPr>
        <w:t>January – 31 December:</w:t>
      </w:r>
    </w:p>
    <w:p w:rsidR="00886658" w:rsidRPr="009B69C4" w:rsidRDefault="00886658" w:rsidP="00886658">
      <w:pPr>
        <w:jc w:val="both"/>
        <w:rPr>
          <w:rFonts w:ascii="Arial" w:hAnsi="Arial"/>
          <w:sz w:val="20"/>
        </w:rPr>
      </w:pPr>
      <w:r w:rsidRPr="009B69C4">
        <w:rPr>
          <w:rFonts w:ascii="Arial" w:hAnsi="Arial"/>
          <w:sz w:val="20"/>
        </w:rPr>
        <w:tab/>
      </w:r>
      <w:r w:rsidRPr="009B69C4">
        <w:rPr>
          <w:rFonts w:ascii="Arial" w:hAnsi="Arial"/>
          <w:sz w:val="20"/>
        </w:rPr>
        <w:tab/>
      </w:r>
    </w:p>
    <w:p w:rsidR="00886658" w:rsidRPr="009B69C4" w:rsidRDefault="00886658" w:rsidP="00886658">
      <w:pPr>
        <w:ind w:left="1440" w:hanging="720"/>
        <w:jc w:val="both"/>
        <w:rPr>
          <w:rFonts w:ascii="Arial" w:hAnsi="Arial"/>
          <w:sz w:val="20"/>
        </w:rPr>
      </w:pPr>
      <w:r w:rsidRPr="009B69C4">
        <w:rPr>
          <w:rFonts w:ascii="Arial" w:hAnsi="Arial"/>
          <w:sz w:val="20"/>
        </w:rPr>
        <w:t>i)</w:t>
      </w:r>
      <w:r w:rsidRPr="009B69C4">
        <w:rPr>
          <w:rFonts w:ascii="Arial" w:hAnsi="Arial"/>
          <w:sz w:val="20"/>
        </w:rPr>
        <w:tab/>
      </w:r>
      <w:r w:rsidR="002179E5" w:rsidRPr="009B69C4">
        <w:rPr>
          <w:rFonts w:ascii="Arial" w:hAnsi="Arial"/>
          <w:sz w:val="20"/>
        </w:rPr>
        <w:t>T</w:t>
      </w:r>
      <w:r w:rsidRPr="009B69C4">
        <w:rPr>
          <w:rFonts w:ascii="Arial" w:hAnsi="Arial"/>
          <w:sz w:val="20"/>
        </w:rPr>
        <w:t>he following standardised holiday arrangements will apply for all staff:</w:t>
      </w:r>
    </w:p>
    <w:p w:rsidR="00886658" w:rsidRPr="009B69C4" w:rsidRDefault="00886658" w:rsidP="00886658">
      <w:pPr>
        <w:ind w:left="1800"/>
        <w:jc w:val="both"/>
        <w:rPr>
          <w:rFonts w:ascii="Arial" w:hAnsi="Arial"/>
          <w:sz w:val="20"/>
        </w:rPr>
      </w:pPr>
    </w:p>
    <w:p w:rsidR="00886658" w:rsidRPr="009B69C4" w:rsidRDefault="00886658" w:rsidP="00886658">
      <w:pPr>
        <w:numPr>
          <w:ilvl w:val="0"/>
          <w:numId w:val="3"/>
        </w:numPr>
        <w:jc w:val="both"/>
        <w:rPr>
          <w:rFonts w:ascii="Arial" w:hAnsi="Arial"/>
          <w:sz w:val="20"/>
        </w:rPr>
      </w:pPr>
      <w:r w:rsidRPr="009B69C4">
        <w:rPr>
          <w:rFonts w:ascii="Arial" w:hAnsi="Arial"/>
          <w:sz w:val="20"/>
        </w:rPr>
        <w:t>23 days</w:t>
      </w:r>
      <w:r w:rsidR="0012692A" w:rsidRPr="009B69C4">
        <w:rPr>
          <w:rFonts w:ascii="Arial" w:hAnsi="Arial"/>
          <w:sz w:val="20"/>
        </w:rPr>
        <w:t>’</w:t>
      </w:r>
      <w:r w:rsidRPr="009B69C4">
        <w:rPr>
          <w:rFonts w:ascii="Arial" w:hAnsi="Arial"/>
          <w:sz w:val="20"/>
        </w:rPr>
        <w:t xml:space="preserve"> annual leave </w:t>
      </w:r>
    </w:p>
    <w:p w:rsidR="00886658" w:rsidRPr="009B69C4" w:rsidRDefault="00886658" w:rsidP="00886658">
      <w:pPr>
        <w:ind w:left="1800"/>
        <w:jc w:val="both"/>
        <w:rPr>
          <w:rFonts w:ascii="Arial" w:hAnsi="Arial"/>
          <w:sz w:val="20"/>
        </w:rPr>
      </w:pPr>
    </w:p>
    <w:p w:rsidR="00886658" w:rsidRPr="009B69C4" w:rsidRDefault="00886658" w:rsidP="00886658">
      <w:pPr>
        <w:numPr>
          <w:ilvl w:val="0"/>
          <w:numId w:val="1"/>
        </w:numPr>
        <w:jc w:val="both"/>
        <w:rPr>
          <w:rFonts w:ascii="Arial" w:hAnsi="Arial"/>
          <w:sz w:val="20"/>
        </w:rPr>
      </w:pPr>
      <w:r w:rsidRPr="009B69C4">
        <w:rPr>
          <w:rFonts w:ascii="Arial" w:hAnsi="Arial"/>
          <w:sz w:val="20"/>
        </w:rPr>
        <w:t>9 University recognised/public holidays which normally are :</w:t>
      </w:r>
    </w:p>
    <w:p w:rsidR="00886658" w:rsidRPr="009B69C4" w:rsidRDefault="00886658" w:rsidP="00886658">
      <w:pPr>
        <w:jc w:val="both"/>
        <w:rPr>
          <w:rFonts w:ascii="Arial" w:hAnsi="Arial"/>
          <w:sz w:val="20"/>
        </w:rPr>
      </w:pPr>
      <w:r w:rsidRPr="009B69C4">
        <w:rPr>
          <w:rFonts w:ascii="Arial" w:hAnsi="Arial"/>
          <w:sz w:val="20"/>
        </w:rPr>
        <w:t xml:space="preserve">            </w:t>
      </w:r>
      <w:r w:rsidRPr="009B69C4">
        <w:rPr>
          <w:rFonts w:ascii="Arial" w:hAnsi="Arial"/>
          <w:sz w:val="20"/>
        </w:rPr>
        <w:tab/>
      </w:r>
      <w:r w:rsidRPr="009B69C4">
        <w:rPr>
          <w:rFonts w:ascii="Arial" w:hAnsi="Arial"/>
          <w:sz w:val="20"/>
        </w:rPr>
        <w:tab/>
      </w:r>
      <w:r w:rsidRPr="009B69C4">
        <w:rPr>
          <w:rFonts w:ascii="Arial" w:hAnsi="Arial"/>
          <w:sz w:val="20"/>
        </w:rPr>
        <w:tab/>
        <w:t>(where these fall within a period of employment)</w:t>
      </w:r>
    </w:p>
    <w:p w:rsidR="00886658" w:rsidRPr="009B69C4" w:rsidRDefault="00886658" w:rsidP="00886658">
      <w:pPr>
        <w:jc w:val="both"/>
        <w:rPr>
          <w:rFonts w:ascii="Arial" w:hAnsi="Arial"/>
          <w:sz w:val="20"/>
        </w:rPr>
      </w:pPr>
    </w:p>
    <w:p w:rsidR="00886658" w:rsidRPr="009B69C4" w:rsidRDefault="00886658" w:rsidP="00886658">
      <w:pPr>
        <w:rPr>
          <w:rFonts w:ascii="Arial" w:hAnsi="Arial"/>
          <w:sz w:val="20"/>
          <w:szCs w:val="20"/>
        </w:rPr>
      </w:pPr>
      <w:r w:rsidRPr="009B69C4">
        <w:rPr>
          <w:rFonts w:ascii="Arial" w:hAnsi="Arial"/>
          <w:sz w:val="20"/>
          <w:szCs w:val="20"/>
        </w:rPr>
        <w:tab/>
      </w:r>
      <w:r w:rsidRPr="009B69C4">
        <w:rPr>
          <w:rFonts w:ascii="Arial" w:hAnsi="Arial"/>
          <w:sz w:val="20"/>
          <w:szCs w:val="20"/>
        </w:rPr>
        <w:tab/>
      </w:r>
      <w:r w:rsidRPr="009B69C4">
        <w:rPr>
          <w:rFonts w:ascii="Arial" w:hAnsi="Arial"/>
          <w:sz w:val="20"/>
          <w:szCs w:val="20"/>
        </w:rPr>
        <w:tab/>
        <w:t>New Year’s Day; St Patrick’s Day; Good Friday; Easter Monday;</w:t>
      </w:r>
    </w:p>
    <w:p w:rsidR="00886658" w:rsidRPr="009B69C4" w:rsidRDefault="00886658" w:rsidP="00886658">
      <w:pPr>
        <w:rPr>
          <w:rFonts w:ascii="Arial" w:hAnsi="Arial"/>
          <w:sz w:val="20"/>
          <w:szCs w:val="20"/>
        </w:rPr>
      </w:pPr>
      <w:r w:rsidRPr="009B69C4">
        <w:rPr>
          <w:rFonts w:ascii="Arial" w:hAnsi="Arial"/>
          <w:sz w:val="20"/>
          <w:szCs w:val="20"/>
        </w:rPr>
        <w:tab/>
      </w:r>
      <w:r w:rsidRPr="009B69C4">
        <w:rPr>
          <w:rFonts w:ascii="Arial" w:hAnsi="Arial"/>
          <w:sz w:val="20"/>
          <w:szCs w:val="20"/>
        </w:rPr>
        <w:tab/>
      </w:r>
      <w:r w:rsidRPr="009B69C4">
        <w:rPr>
          <w:rFonts w:ascii="Arial" w:hAnsi="Arial"/>
          <w:sz w:val="20"/>
          <w:szCs w:val="20"/>
        </w:rPr>
        <w:tab/>
        <w:t>1</w:t>
      </w:r>
      <w:r w:rsidRPr="009B69C4">
        <w:rPr>
          <w:rFonts w:ascii="Arial" w:hAnsi="Arial"/>
          <w:sz w:val="20"/>
          <w:szCs w:val="20"/>
          <w:vertAlign w:val="superscript"/>
        </w:rPr>
        <w:t>st</w:t>
      </w:r>
      <w:r w:rsidRPr="009B69C4">
        <w:rPr>
          <w:rFonts w:ascii="Arial" w:hAnsi="Arial"/>
          <w:sz w:val="20"/>
          <w:szCs w:val="20"/>
        </w:rPr>
        <w:t xml:space="preserve"> Monday in May; 12 and 13 July; Christmas Day; Boxing Day</w:t>
      </w:r>
    </w:p>
    <w:p w:rsidR="00886658" w:rsidRPr="009B69C4" w:rsidRDefault="00886658" w:rsidP="00886658">
      <w:pPr>
        <w:rPr>
          <w:rFonts w:ascii="Arial" w:hAnsi="Arial"/>
          <w:sz w:val="20"/>
          <w:szCs w:val="20"/>
        </w:rPr>
      </w:pPr>
    </w:p>
    <w:p w:rsidR="00886658" w:rsidRPr="009B69C4" w:rsidRDefault="00886658" w:rsidP="00886658">
      <w:pPr>
        <w:numPr>
          <w:ilvl w:val="0"/>
          <w:numId w:val="2"/>
        </w:numPr>
        <w:rPr>
          <w:rFonts w:ascii="Arial" w:hAnsi="Arial"/>
          <w:sz w:val="20"/>
          <w:szCs w:val="20"/>
        </w:rPr>
      </w:pPr>
      <w:r w:rsidRPr="009B69C4">
        <w:rPr>
          <w:rFonts w:ascii="Arial" w:hAnsi="Arial"/>
          <w:sz w:val="20"/>
          <w:szCs w:val="20"/>
        </w:rPr>
        <w:t>10 closure days (based on 5 days at Easter and 5 days at Christmas</w:t>
      </w:r>
      <w:r w:rsidR="00897B99" w:rsidRPr="009B69C4">
        <w:rPr>
          <w:rFonts w:ascii="Arial" w:hAnsi="Arial"/>
          <w:sz w:val="20"/>
          <w:szCs w:val="20"/>
        </w:rPr>
        <w:t>.</w:t>
      </w:r>
      <w:r w:rsidRPr="009B69C4">
        <w:rPr>
          <w:rFonts w:ascii="Arial" w:hAnsi="Arial"/>
          <w:sz w:val="20"/>
          <w:szCs w:val="20"/>
        </w:rPr>
        <w:t xml:space="preserve"> </w:t>
      </w:r>
    </w:p>
    <w:p w:rsidR="00886658" w:rsidRPr="009B69C4" w:rsidRDefault="00886658" w:rsidP="00886658">
      <w:pPr>
        <w:ind w:left="1800"/>
        <w:rPr>
          <w:rFonts w:ascii="Arial" w:hAnsi="Arial"/>
          <w:sz w:val="20"/>
          <w:szCs w:val="20"/>
        </w:rPr>
      </w:pPr>
    </w:p>
    <w:p w:rsidR="00886658" w:rsidRPr="009B69C4" w:rsidRDefault="00886658" w:rsidP="00DF3267">
      <w:pPr>
        <w:ind w:left="1440" w:hanging="720"/>
        <w:rPr>
          <w:rFonts w:ascii="Arial" w:hAnsi="Arial"/>
          <w:sz w:val="20"/>
          <w:szCs w:val="20"/>
        </w:rPr>
      </w:pPr>
      <w:r w:rsidRPr="009B69C4">
        <w:rPr>
          <w:rFonts w:ascii="Arial" w:hAnsi="Arial"/>
          <w:sz w:val="20"/>
          <w:szCs w:val="20"/>
        </w:rPr>
        <w:t>ii)</w:t>
      </w:r>
      <w:r w:rsidRPr="009B69C4">
        <w:rPr>
          <w:rFonts w:ascii="Arial" w:hAnsi="Arial"/>
          <w:sz w:val="20"/>
          <w:szCs w:val="20"/>
        </w:rPr>
        <w:tab/>
        <w:t>If you are required to work on a closure day, you will be paid at single time and the holiday will be taken at another suitable time as agreed with management.</w:t>
      </w:r>
    </w:p>
    <w:p w:rsidR="00886658" w:rsidRPr="009B69C4" w:rsidRDefault="00886658" w:rsidP="00886658">
      <w:pPr>
        <w:ind w:left="1440" w:hanging="720"/>
        <w:jc w:val="both"/>
        <w:rPr>
          <w:rFonts w:ascii="Arial" w:hAnsi="Arial"/>
          <w:sz w:val="20"/>
          <w:szCs w:val="20"/>
        </w:rPr>
      </w:pPr>
    </w:p>
    <w:p w:rsidR="00F60A79" w:rsidRPr="009B69C4" w:rsidRDefault="00886658" w:rsidP="00DF3267">
      <w:pPr>
        <w:numPr>
          <w:ilvl w:val="0"/>
          <w:numId w:val="4"/>
        </w:numPr>
        <w:rPr>
          <w:rFonts w:ascii="Arial" w:hAnsi="Arial"/>
          <w:sz w:val="20"/>
          <w:szCs w:val="20"/>
        </w:rPr>
      </w:pPr>
      <w:r w:rsidRPr="009B69C4">
        <w:rPr>
          <w:rFonts w:ascii="Arial" w:hAnsi="Arial"/>
          <w:sz w:val="20"/>
          <w:szCs w:val="20"/>
        </w:rPr>
        <w:t>The holiday entitlement of part time and term time only staff is pro rata to that of full time staff.  Entitlement for part time staff may be calculated by reference to the chart at paragraph (vi) for those staff who work part time on the basis of days worked, or for those part time staff who work on the basis of hours by using the formula:</w:t>
      </w:r>
    </w:p>
    <w:p w:rsidR="00886658" w:rsidRPr="009B69C4" w:rsidRDefault="00886658" w:rsidP="00F60A79">
      <w:pPr>
        <w:ind w:left="2880"/>
        <w:jc w:val="both"/>
        <w:rPr>
          <w:rFonts w:ascii="Arial" w:hAnsi="Arial"/>
          <w:sz w:val="20"/>
          <w:szCs w:val="20"/>
        </w:rPr>
      </w:pPr>
      <w:r w:rsidRPr="009B69C4">
        <w:rPr>
          <w:rFonts w:ascii="Arial" w:hAnsi="Arial"/>
          <w:sz w:val="20"/>
          <w:szCs w:val="20"/>
        </w:rPr>
        <w:t xml:space="preserve"> </w:t>
      </w:r>
      <w:r w:rsidRPr="009B69C4">
        <w:rPr>
          <w:rFonts w:ascii="Arial" w:hAnsi="Arial"/>
          <w:sz w:val="20"/>
          <w:szCs w:val="20"/>
          <w:u w:val="single"/>
        </w:rPr>
        <w:t>no of hours worked</w:t>
      </w:r>
      <w:r w:rsidR="00463511" w:rsidRPr="009B69C4">
        <w:rPr>
          <w:rFonts w:ascii="Arial" w:hAnsi="Arial"/>
          <w:sz w:val="20"/>
          <w:szCs w:val="20"/>
          <w:u w:val="single"/>
        </w:rPr>
        <w:t xml:space="preserve"> per week</w:t>
      </w:r>
      <w:r w:rsidRPr="009B69C4">
        <w:rPr>
          <w:rFonts w:ascii="Arial" w:hAnsi="Arial"/>
          <w:sz w:val="20"/>
          <w:szCs w:val="20"/>
        </w:rPr>
        <w:t xml:space="preserve"> x 23.</w:t>
      </w:r>
    </w:p>
    <w:p w:rsidR="00886658" w:rsidRPr="009B69C4" w:rsidRDefault="00886658" w:rsidP="00886658">
      <w:pPr>
        <w:ind w:left="1440" w:hanging="720"/>
        <w:jc w:val="both"/>
        <w:rPr>
          <w:rFonts w:ascii="Arial" w:hAnsi="Arial"/>
          <w:sz w:val="20"/>
          <w:szCs w:val="20"/>
        </w:rPr>
      </w:pPr>
      <w:r w:rsidRPr="009B69C4">
        <w:rPr>
          <w:rFonts w:ascii="Arial" w:hAnsi="Arial"/>
          <w:sz w:val="20"/>
          <w:szCs w:val="20"/>
        </w:rPr>
        <w:tab/>
      </w:r>
      <w:r w:rsidRPr="009B69C4">
        <w:rPr>
          <w:rFonts w:ascii="Arial" w:hAnsi="Arial"/>
          <w:sz w:val="20"/>
          <w:szCs w:val="20"/>
        </w:rPr>
        <w:tab/>
      </w:r>
      <w:r w:rsidRPr="009B69C4">
        <w:rPr>
          <w:rFonts w:ascii="Arial" w:hAnsi="Arial"/>
          <w:sz w:val="20"/>
          <w:szCs w:val="20"/>
        </w:rPr>
        <w:tab/>
      </w:r>
      <w:r w:rsidRPr="009B69C4">
        <w:rPr>
          <w:rFonts w:ascii="Arial" w:hAnsi="Arial"/>
          <w:sz w:val="20"/>
          <w:szCs w:val="20"/>
        </w:rPr>
        <w:tab/>
      </w:r>
      <w:r w:rsidRPr="009B69C4">
        <w:rPr>
          <w:rFonts w:ascii="Arial" w:hAnsi="Arial"/>
          <w:sz w:val="20"/>
          <w:szCs w:val="20"/>
        </w:rPr>
        <w:tab/>
        <w:t>37</w:t>
      </w:r>
    </w:p>
    <w:p w:rsidR="00886658" w:rsidRPr="009B69C4" w:rsidRDefault="00886658" w:rsidP="00886658">
      <w:pPr>
        <w:ind w:left="1440" w:hanging="720"/>
        <w:jc w:val="both"/>
        <w:rPr>
          <w:rFonts w:ascii="Arial" w:hAnsi="Arial"/>
          <w:sz w:val="20"/>
          <w:szCs w:val="20"/>
        </w:rPr>
      </w:pPr>
    </w:p>
    <w:p w:rsidR="00886658" w:rsidRPr="009B69C4" w:rsidRDefault="00886658" w:rsidP="00DF3267">
      <w:pPr>
        <w:ind w:left="1440" w:hanging="720"/>
        <w:rPr>
          <w:rFonts w:ascii="Arial" w:hAnsi="Arial"/>
          <w:sz w:val="20"/>
          <w:szCs w:val="20"/>
        </w:rPr>
      </w:pPr>
      <w:r w:rsidRPr="009B69C4">
        <w:rPr>
          <w:rFonts w:ascii="Arial" w:hAnsi="Arial"/>
          <w:sz w:val="20"/>
          <w:szCs w:val="20"/>
        </w:rPr>
        <w:t>iv)</w:t>
      </w:r>
      <w:r w:rsidRPr="009B69C4">
        <w:rPr>
          <w:rFonts w:ascii="Arial" w:hAnsi="Arial"/>
          <w:sz w:val="20"/>
          <w:szCs w:val="20"/>
        </w:rPr>
        <w:tab/>
        <w:t>Holidays are based on standard days and where staff have other working arrangements, e.g. shifts which require working longer periods, the equivalent amount of leave will be available.</w:t>
      </w:r>
    </w:p>
    <w:p w:rsidR="00886658" w:rsidRPr="009B69C4" w:rsidRDefault="00C85178" w:rsidP="00886658">
      <w:pPr>
        <w:ind w:left="1440" w:hanging="720"/>
        <w:jc w:val="both"/>
        <w:rPr>
          <w:rFonts w:ascii="Arial" w:hAnsi="Arial"/>
          <w:sz w:val="20"/>
          <w:szCs w:val="20"/>
        </w:rPr>
      </w:pPr>
      <w:r>
        <w:rPr>
          <w:rFonts w:ascii="Arial" w:hAnsi="Arial"/>
          <w:sz w:val="20"/>
          <w:szCs w:val="20"/>
        </w:rPr>
        <w:br w:type="page"/>
      </w:r>
    </w:p>
    <w:p w:rsidR="00886658" w:rsidRPr="009B69C4" w:rsidRDefault="00886658" w:rsidP="00DF3267">
      <w:pPr>
        <w:ind w:left="1440" w:hanging="720"/>
        <w:rPr>
          <w:rFonts w:ascii="Arial" w:hAnsi="Arial"/>
          <w:sz w:val="20"/>
          <w:szCs w:val="20"/>
        </w:rPr>
      </w:pPr>
      <w:r w:rsidRPr="009B69C4">
        <w:rPr>
          <w:rFonts w:ascii="Arial" w:hAnsi="Arial"/>
          <w:sz w:val="20"/>
          <w:szCs w:val="20"/>
        </w:rPr>
        <w:lastRenderedPageBreak/>
        <w:t>v)</w:t>
      </w:r>
      <w:r w:rsidRPr="009B69C4">
        <w:rPr>
          <w:rFonts w:ascii="Arial" w:hAnsi="Arial"/>
          <w:sz w:val="20"/>
          <w:szCs w:val="20"/>
        </w:rPr>
        <w:tab/>
        <w:t xml:space="preserve">All holiday entitlement is taken by arrangement with your manager and cannot be carried over from one leave year to the next, unless in exceptional circumstances </w:t>
      </w:r>
      <w:r w:rsidR="00715B63" w:rsidRPr="009B69C4">
        <w:rPr>
          <w:rFonts w:ascii="Arial" w:hAnsi="Arial"/>
          <w:sz w:val="20"/>
          <w:szCs w:val="20"/>
        </w:rPr>
        <w:t xml:space="preserve">and </w:t>
      </w:r>
      <w:r w:rsidRPr="009B69C4">
        <w:rPr>
          <w:rFonts w:ascii="Arial" w:hAnsi="Arial"/>
          <w:sz w:val="20"/>
          <w:szCs w:val="20"/>
        </w:rPr>
        <w:t>approved by your manager</w:t>
      </w:r>
      <w:r w:rsidR="005D0ADB" w:rsidRPr="009B69C4">
        <w:rPr>
          <w:rFonts w:ascii="Arial" w:hAnsi="Arial"/>
          <w:sz w:val="20"/>
          <w:szCs w:val="20"/>
        </w:rPr>
        <w:t>.</w:t>
      </w:r>
    </w:p>
    <w:p w:rsidR="00886658" w:rsidRPr="009B69C4" w:rsidRDefault="00886658" w:rsidP="00886658">
      <w:pPr>
        <w:ind w:left="1440" w:hanging="720"/>
        <w:jc w:val="both"/>
        <w:rPr>
          <w:rFonts w:ascii="Arial" w:hAnsi="Arial"/>
          <w:sz w:val="20"/>
          <w:szCs w:val="20"/>
        </w:rPr>
      </w:pPr>
    </w:p>
    <w:p w:rsidR="00886658" w:rsidRPr="009B69C4" w:rsidRDefault="00886658" w:rsidP="00DF3267">
      <w:pPr>
        <w:ind w:left="1440" w:hanging="720"/>
        <w:rPr>
          <w:rFonts w:ascii="Arial" w:hAnsi="Arial"/>
          <w:sz w:val="20"/>
          <w:szCs w:val="20"/>
        </w:rPr>
      </w:pPr>
      <w:r w:rsidRPr="009B69C4">
        <w:rPr>
          <w:rFonts w:ascii="Arial" w:hAnsi="Arial"/>
          <w:sz w:val="20"/>
          <w:szCs w:val="20"/>
        </w:rPr>
        <w:t>vi)</w:t>
      </w:r>
      <w:r w:rsidRPr="009B69C4">
        <w:rPr>
          <w:rFonts w:ascii="Arial" w:hAnsi="Arial"/>
          <w:sz w:val="20"/>
          <w:szCs w:val="20"/>
        </w:rPr>
        <w:tab/>
        <w:t>Where a member of staff has completed less than 12 months</w:t>
      </w:r>
      <w:r w:rsidR="003E29F6" w:rsidRPr="009B69C4">
        <w:rPr>
          <w:rFonts w:ascii="Arial" w:hAnsi="Arial"/>
          <w:sz w:val="20"/>
          <w:szCs w:val="20"/>
        </w:rPr>
        <w:t>’</w:t>
      </w:r>
      <w:r w:rsidRPr="009B69C4">
        <w:rPr>
          <w:rFonts w:ascii="Arial" w:hAnsi="Arial"/>
          <w:sz w:val="20"/>
          <w:szCs w:val="20"/>
        </w:rPr>
        <w:t xml:space="preserve"> continuous service by the end of the year, they will receive pro rata entitlement as follows:</w:t>
      </w:r>
    </w:p>
    <w:p w:rsidR="00886658" w:rsidRPr="009B69C4" w:rsidRDefault="00886658" w:rsidP="00886658">
      <w:pPr>
        <w:ind w:left="1440" w:hanging="720"/>
        <w:jc w:val="both"/>
        <w:rPr>
          <w:rFonts w:ascii="Arial" w:hAnsi="Arial"/>
          <w:sz w:val="20"/>
          <w:szCs w:val="20"/>
        </w:rPr>
      </w:pPr>
    </w:p>
    <w:tbl>
      <w:tblPr>
        <w:tblW w:w="7127" w:type="dxa"/>
        <w:tblInd w:w="1428" w:type="dxa"/>
        <w:tblLayout w:type="fixed"/>
        <w:tblLook w:val="0000" w:firstRow="0" w:lastRow="0" w:firstColumn="0" w:lastColumn="0" w:noHBand="0" w:noVBand="0"/>
      </w:tblPr>
      <w:tblGrid>
        <w:gridCol w:w="2378"/>
        <w:gridCol w:w="1187"/>
        <w:gridCol w:w="1187"/>
        <w:gridCol w:w="1187"/>
        <w:gridCol w:w="1188"/>
      </w:tblGrid>
      <w:tr w:rsidR="00886658" w:rsidRPr="009B69C4">
        <w:tblPrEx>
          <w:tblCellMar>
            <w:top w:w="0" w:type="dxa"/>
            <w:bottom w:w="0" w:type="dxa"/>
          </w:tblCellMar>
        </w:tblPrEx>
        <w:tc>
          <w:tcPr>
            <w:tcW w:w="2378" w:type="dxa"/>
          </w:tcPr>
          <w:p w:rsidR="00886658" w:rsidRPr="009B69C4" w:rsidRDefault="00886658" w:rsidP="004B7BFE">
            <w:pPr>
              <w:jc w:val="center"/>
              <w:rPr>
                <w:rFonts w:ascii="Arial" w:hAnsi="Arial"/>
                <w:sz w:val="18"/>
              </w:rPr>
            </w:pPr>
          </w:p>
        </w:tc>
        <w:tc>
          <w:tcPr>
            <w:tcW w:w="4749" w:type="dxa"/>
            <w:gridSpan w:val="4"/>
            <w:tcBorders>
              <w:top w:val="single" w:sz="6" w:space="0" w:color="auto"/>
              <w:left w:val="single" w:sz="6" w:space="0" w:color="auto"/>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NUMBER OF DAYS WORKED PER WEEK</w:t>
            </w:r>
          </w:p>
        </w:tc>
      </w:tr>
      <w:tr w:rsidR="00886658" w:rsidRPr="009B69C4">
        <w:tblPrEx>
          <w:tblCellMar>
            <w:top w:w="0" w:type="dxa"/>
            <w:bottom w:w="0" w:type="dxa"/>
          </w:tblCellMar>
        </w:tblPrEx>
        <w:tc>
          <w:tcPr>
            <w:tcW w:w="2378" w:type="dxa"/>
          </w:tcPr>
          <w:p w:rsidR="00886658" w:rsidRPr="009B69C4" w:rsidRDefault="00886658" w:rsidP="004B7BFE">
            <w:pPr>
              <w:jc w:val="center"/>
              <w:rPr>
                <w:rFonts w:ascii="Arial" w:hAnsi="Arial"/>
                <w:sz w:val="18"/>
              </w:rPr>
            </w:pPr>
          </w:p>
        </w:tc>
        <w:tc>
          <w:tcPr>
            <w:tcW w:w="1187"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4</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3</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r>
      <w:tr w:rsidR="00886658" w:rsidRPr="009B69C4">
        <w:tblPrEx>
          <w:tblCellMar>
            <w:top w:w="0" w:type="dxa"/>
            <w:bottom w:w="0" w:type="dxa"/>
          </w:tblCellMar>
        </w:tblPrEx>
        <w:tc>
          <w:tcPr>
            <w:tcW w:w="2378" w:type="dxa"/>
            <w:tcBorders>
              <w:bottom w:val="single" w:sz="6" w:space="0" w:color="auto"/>
            </w:tcBorders>
          </w:tcPr>
          <w:p w:rsidR="00886658" w:rsidRPr="009B69C4" w:rsidRDefault="00886658" w:rsidP="004B7BFE">
            <w:pPr>
              <w:jc w:val="center"/>
              <w:rPr>
                <w:rFonts w:ascii="Arial" w:hAnsi="Arial"/>
                <w:sz w:val="18"/>
              </w:rPr>
            </w:pPr>
          </w:p>
        </w:tc>
        <w:tc>
          <w:tcPr>
            <w:tcW w:w="1187" w:type="dxa"/>
            <w:tcBorders>
              <w:left w:val="single" w:sz="6" w:space="0" w:color="auto"/>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sym w:font="Wingdings" w:char="F0E2"/>
            </w:r>
          </w:p>
        </w:tc>
        <w:tc>
          <w:tcPr>
            <w:tcW w:w="1187"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sym w:font="Wingdings" w:char="F0E2"/>
            </w:r>
          </w:p>
        </w:tc>
        <w:tc>
          <w:tcPr>
            <w:tcW w:w="1187"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sym w:font="Wingdings" w:char="F0E2"/>
            </w:r>
          </w:p>
        </w:tc>
        <w:tc>
          <w:tcPr>
            <w:tcW w:w="1188"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sym w:font="Wingdings" w:char="F0E2"/>
            </w:r>
          </w:p>
        </w:tc>
      </w:tr>
      <w:tr w:rsidR="00886658" w:rsidRPr="009B69C4">
        <w:tblPrEx>
          <w:tblCellMar>
            <w:top w:w="0" w:type="dxa"/>
            <w:bottom w:w="0" w:type="dxa"/>
          </w:tblCellMar>
        </w:tblPrEx>
        <w:tc>
          <w:tcPr>
            <w:tcW w:w="2378" w:type="dxa"/>
            <w:tcBorders>
              <w:top w:val="single" w:sz="6" w:space="0" w:color="auto"/>
              <w:left w:val="single" w:sz="6" w:space="0" w:color="auto"/>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COMPLETED MONTHS OF SERVICE</w:t>
            </w:r>
          </w:p>
        </w:tc>
        <w:tc>
          <w:tcPr>
            <w:tcW w:w="4749" w:type="dxa"/>
            <w:gridSpan w:val="4"/>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PRO-RATA ENTITLEMENT (in working days)</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w:t>
            </w:r>
          </w:p>
        </w:tc>
        <w:tc>
          <w:tcPr>
            <w:tcW w:w="1187" w:type="dxa"/>
            <w:tcBorders>
              <w:top w:val="single" w:sz="6" w:space="0" w:color="auto"/>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c>
          <w:tcPr>
            <w:tcW w:w="1187" w:type="dxa"/>
            <w:tcBorders>
              <w:top w:val="single" w:sz="6" w:space="0" w:color="auto"/>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c>
          <w:tcPr>
            <w:tcW w:w="1187" w:type="dxa"/>
            <w:tcBorders>
              <w:top w:val="single" w:sz="6" w:space="0" w:color="auto"/>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w:t>
            </w:r>
          </w:p>
        </w:tc>
        <w:tc>
          <w:tcPr>
            <w:tcW w:w="1188" w:type="dxa"/>
            <w:tcBorders>
              <w:top w:val="single" w:sz="6" w:space="0" w:color="auto"/>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4</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3</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3</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6</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3</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4</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6</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3</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10</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6</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4</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6</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11</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9</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7</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7</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13</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11</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5</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15</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12</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9</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6</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9</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17</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14</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10</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7</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10</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19</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15</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11</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r>
      <w:tr w:rsidR="00886658" w:rsidRPr="009B69C4">
        <w:tblPrEx>
          <w:tblCellMar>
            <w:top w:w="0" w:type="dxa"/>
            <w:bottom w:w="0" w:type="dxa"/>
          </w:tblCellMar>
        </w:tblPrEx>
        <w:tc>
          <w:tcPr>
            <w:tcW w:w="2378" w:type="dxa"/>
            <w:tcBorders>
              <w:left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11</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21</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17</w:t>
            </w:r>
          </w:p>
        </w:tc>
        <w:tc>
          <w:tcPr>
            <w:tcW w:w="1187"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13</w:t>
            </w:r>
          </w:p>
        </w:tc>
        <w:tc>
          <w:tcPr>
            <w:tcW w:w="1188" w:type="dxa"/>
            <w:tcBorders>
              <w:left w:val="nil"/>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8</w:t>
            </w:r>
          </w:p>
        </w:tc>
      </w:tr>
      <w:tr w:rsidR="00886658" w:rsidRPr="009B69C4">
        <w:tblPrEx>
          <w:tblCellMar>
            <w:top w:w="0" w:type="dxa"/>
            <w:bottom w:w="0" w:type="dxa"/>
          </w:tblCellMar>
        </w:tblPrEx>
        <w:tc>
          <w:tcPr>
            <w:tcW w:w="2378" w:type="dxa"/>
            <w:tcBorders>
              <w:left w:val="single" w:sz="6" w:space="0" w:color="auto"/>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12</w:t>
            </w:r>
          </w:p>
        </w:tc>
        <w:tc>
          <w:tcPr>
            <w:tcW w:w="1187"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23</w:t>
            </w:r>
          </w:p>
        </w:tc>
        <w:tc>
          <w:tcPr>
            <w:tcW w:w="1187"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18</w:t>
            </w:r>
          </w:p>
        </w:tc>
        <w:tc>
          <w:tcPr>
            <w:tcW w:w="1187"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14</w:t>
            </w:r>
          </w:p>
        </w:tc>
        <w:tc>
          <w:tcPr>
            <w:tcW w:w="1188" w:type="dxa"/>
            <w:tcBorders>
              <w:left w:val="nil"/>
              <w:bottom w:val="single" w:sz="6" w:space="0" w:color="auto"/>
              <w:right w:val="single" w:sz="6" w:space="0" w:color="auto"/>
            </w:tcBorders>
          </w:tcPr>
          <w:p w:rsidR="00886658" w:rsidRPr="009B69C4" w:rsidRDefault="00886658" w:rsidP="004B7BFE">
            <w:pPr>
              <w:jc w:val="center"/>
              <w:rPr>
                <w:rFonts w:ascii="Arial" w:hAnsi="Arial"/>
                <w:sz w:val="18"/>
              </w:rPr>
            </w:pPr>
            <w:r w:rsidRPr="009B69C4">
              <w:rPr>
                <w:rFonts w:ascii="Arial" w:hAnsi="Arial"/>
                <w:sz w:val="18"/>
              </w:rPr>
              <w:t>9</w:t>
            </w:r>
          </w:p>
        </w:tc>
      </w:tr>
    </w:tbl>
    <w:p w:rsidR="00886658" w:rsidRPr="009B69C4" w:rsidRDefault="00886658" w:rsidP="00886658">
      <w:pPr>
        <w:jc w:val="both"/>
        <w:rPr>
          <w:rFonts w:ascii="Arial" w:hAnsi="Arial"/>
          <w:sz w:val="20"/>
          <w:szCs w:val="20"/>
        </w:rPr>
      </w:pPr>
    </w:p>
    <w:p w:rsidR="00886658" w:rsidRPr="009B69C4" w:rsidRDefault="00886658" w:rsidP="00DF3267">
      <w:pPr>
        <w:ind w:left="1440" w:hanging="720"/>
        <w:rPr>
          <w:rFonts w:ascii="Arial" w:hAnsi="Arial"/>
          <w:sz w:val="20"/>
          <w:szCs w:val="20"/>
        </w:rPr>
      </w:pPr>
      <w:r w:rsidRPr="009B69C4">
        <w:rPr>
          <w:rFonts w:ascii="Arial" w:hAnsi="Arial"/>
          <w:sz w:val="20"/>
          <w:szCs w:val="20"/>
        </w:rPr>
        <w:t>vii)</w:t>
      </w:r>
      <w:r w:rsidRPr="009B69C4">
        <w:rPr>
          <w:rFonts w:ascii="Arial" w:hAnsi="Arial"/>
          <w:sz w:val="20"/>
          <w:szCs w:val="20"/>
        </w:rPr>
        <w:tab/>
        <w:t>On termination, entitlement (or holiday pay in lieu) is also calculated by reference to the table in paragraph (vi) above with the proviso that where an employee on termination has received holiday pay in excess of this entitlement, then the excess will be recovered by way of a deduction from the final salary.</w:t>
      </w:r>
    </w:p>
    <w:p w:rsidR="00886658" w:rsidRPr="009B69C4" w:rsidRDefault="00886658" w:rsidP="00886658">
      <w:pPr>
        <w:rPr>
          <w:rFonts w:ascii="Arial" w:hAnsi="Arial"/>
          <w:sz w:val="20"/>
          <w:szCs w:val="20"/>
        </w:rPr>
      </w:pPr>
    </w:p>
    <w:p w:rsidR="003A3050" w:rsidRPr="009B69C4" w:rsidRDefault="00886658" w:rsidP="00DF3267">
      <w:pPr>
        <w:autoSpaceDE w:val="0"/>
        <w:autoSpaceDN w:val="0"/>
        <w:adjustRightInd w:val="0"/>
        <w:ind w:left="1440"/>
        <w:rPr>
          <w:rFonts w:ascii="Arial" w:hAnsi="Arial" w:cs="Arial"/>
          <w:sz w:val="20"/>
          <w:szCs w:val="20"/>
        </w:rPr>
      </w:pPr>
      <w:r w:rsidRPr="009B69C4">
        <w:rPr>
          <w:rFonts w:ascii="Arial" w:hAnsi="Arial"/>
          <w:sz w:val="20"/>
        </w:rPr>
        <w:t xml:space="preserve">Further details on holiday entitlement, pay and regulations are available from </w:t>
      </w:r>
      <w:r w:rsidR="0061558F">
        <w:rPr>
          <w:rFonts w:ascii="Arial" w:hAnsi="Arial"/>
          <w:sz w:val="20"/>
        </w:rPr>
        <w:t xml:space="preserve">People and Culture or via the </w:t>
      </w:r>
      <w:hyperlink r:id="rId9" w:history="1">
        <w:r w:rsidR="0061558F" w:rsidRPr="0061558F">
          <w:rPr>
            <w:rStyle w:val="Hyperlink"/>
            <w:rFonts w:ascii="Arial" w:hAnsi="Arial"/>
            <w:sz w:val="20"/>
          </w:rPr>
          <w:t>People and Cult</w:t>
        </w:r>
        <w:r w:rsidR="0061558F" w:rsidRPr="0061558F">
          <w:rPr>
            <w:rStyle w:val="Hyperlink"/>
            <w:rFonts w:ascii="Arial" w:hAnsi="Arial"/>
            <w:sz w:val="20"/>
          </w:rPr>
          <w:t>u</w:t>
        </w:r>
        <w:r w:rsidR="0061558F" w:rsidRPr="0061558F">
          <w:rPr>
            <w:rStyle w:val="Hyperlink"/>
            <w:rFonts w:ascii="Arial" w:hAnsi="Arial"/>
            <w:sz w:val="20"/>
          </w:rPr>
          <w:t>re website</w:t>
        </w:r>
      </w:hyperlink>
      <w:r w:rsidR="0061558F">
        <w:rPr>
          <w:rFonts w:ascii="Arial" w:hAnsi="Arial"/>
          <w:sz w:val="20"/>
        </w:rPr>
        <w:t>.</w:t>
      </w:r>
    </w:p>
    <w:p w:rsidR="009B6538" w:rsidRPr="009B69C4" w:rsidRDefault="009B6538" w:rsidP="003A3050">
      <w:pPr>
        <w:autoSpaceDE w:val="0"/>
        <w:autoSpaceDN w:val="0"/>
        <w:adjustRightInd w:val="0"/>
        <w:rPr>
          <w:rFonts w:ascii="Arial" w:hAnsi="Arial" w:cs="Arial"/>
          <w:sz w:val="20"/>
          <w:szCs w:val="20"/>
        </w:rPr>
      </w:pPr>
    </w:p>
    <w:p w:rsidR="00886658" w:rsidRPr="009B69C4" w:rsidRDefault="00886658" w:rsidP="002179E5">
      <w:pPr>
        <w:rPr>
          <w:rFonts w:ascii="Arial" w:hAnsi="Arial"/>
          <w:sz w:val="20"/>
          <w:szCs w:val="20"/>
        </w:rPr>
      </w:pPr>
      <w:r w:rsidRPr="009B69C4">
        <w:rPr>
          <w:rFonts w:ascii="Arial" w:hAnsi="Arial"/>
          <w:sz w:val="20"/>
          <w:szCs w:val="20"/>
        </w:rPr>
        <w:t>6.</w:t>
      </w:r>
      <w:r w:rsidRPr="009B69C4">
        <w:rPr>
          <w:rFonts w:ascii="Arial" w:hAnsi="Arial"/>
          <w:sz w:val="20"/>
          <w:szCs w:val="20"/>
        </w:rPr>
        <w:tab/>
      </w:r>
      <w:r w:rsidRPr="009B69C4">
        <w:rPr>
          <w:rFonts w:ascii="Arial" w:hAnsi="Arial"/>
          <w:sz w:val="20"/>
          <w:szCs w:val="20"/>
          <w:u w:val="single"/>
        </w:rPr>
        <w:t>Sickness Absence</w:t>
      </w:r>
    </w:p>
    <w:p w:rsidR="00886658" w:rsidRPr="009B69C4" w:rsidRDefault="00886658" w:rsidP="00886658">
      <w:pPr>
        <w:jc w:val="both"/>
        <w:rPr>
          <w:rFonts w:ascii="Arial" w:hAnsi="Arial"/>
          <w:sz w:val="20"/>
          <w:szCs w:val="20"/>
        </w:rPr>
      </w:pPr>
    </w:p>
    <w:p w:rsidR="00886658" w:rsidRPr="009B69C4" w:rsidRDefault="00886658" w:rsidP="00DF3267">
      <w:pPr>
        <w:ind w:left="720"/>
        <w:rPr>
          <w:rFonts w:ascii="Arial" w:hAnsi="Arial"/>
          <w:sz w:val="20"/>
        </w:rPr>
      </w:pPr>
      <w:r w:rsidRPr="009B69C4">
        <w:rPr>
          <w:rFonts w:ascii="Arial" w:hAnsi="Arial"/>
          <w:sz w:val="20"/>
        </w:rPr>
        <w:t>If you are absent on account of sickness or injury you (or someone on your behalf) must advise your line manager in accordance with the requirement of the sickness absence procedure.</w:t>
      </w:r>
    </w:p>
    <w:p w:rsidR="00886658" w:rsidRPr="009B69C4" w:rsidRDefault="00886658" w:rsidP="00886658">
      <w:pPr>
        <w:jc w:val="both"/>
        <w:rPr>
          <w:rFonts w:ascii="Arial" w:hAnsi="Arial"/>
          <w:sz w:val="20"/>
        </w:rPr>
      </w:pPr>
    </w:p>
    <w:p w:rsidR="003A3050" w:rsidRPr="009B69C4" w:rsidRDefault="00886658" w:rsidP="00DF3267">
      <w:pPr>
        <w:autoSpaceDE w:val="0"/>
        <w:autoSpaceDN w:val="0"/>
        <w:adjustRightInd w:val="0"/>
        <w:ind w:left="720"/>
        <w:rPr>
          <w:rFonts w:ascii="Arial" w:hAnsi="Arial" w:cs="Arial"/>
          <w:sz w:val="20"/>
          <w:szCs w:val="20"/>
        </w:rPr>
      </w:pPr>
      <w:r w:rsidRPr="009B69C4">
        <w:rPr>
          <w:rFonts w:ascii="Arial" w:hAnsi="Arial"/>
          <w:sz w:val="20"/>
        </w:rPr>
        <w:t xml:space="preserve">Full details of the sickness absence procedure </w:t>
      </w:r>
      <w:r w:rsidRPr="009B69C4">
        <w:rPr>
          <w:rFonts w:ascii="Arial" w:hAnsi="Arial"/>
          <w:sz w:val="20"/>
          <w:szCs w:val="20"/>
        </w:rPr>
        <w:t xml:space="preserve">can be obtained from your manager or by contacting </w:t>
      </w:r>
      <w:r w:rsidR="0061558F">
        <w:rPr>
          <w:rFonts w:ascii="Arial" w:hAnsi="Arial"/>
          <w:sz w:val="20"/>
          <w:szCs w:val="20"/>
        </w:rPr>
        <w:t>People and Culture</w:t>
      </w:r>
      <w:r w:rsidRPr="009B69C4">
        <w:rPr>
          <w:rFonts w:ascii="Arial" w:hAnsi="Arial"/>
          <w:sz w:val="20"/>
          <w:szCs w:val="20"/>
        </w:rPr>
        <w:t xml:space="preserve"> </w:t>
      </w:r>
      <w:r w:rsidR="009B6538" w:rsidRPr="009B69C4">
        <w:rPr>
          <w:rFonts w:ascii="Arial" w:hAnsi="Arial"/>
          <w:sz w:val="20"/>
          <w:szCs w:val="20"/>
        </w:rPr>
        <w:t xml:space="preserve">or </w:t>
      </w:r>
      <w:r w:rsidR="00A76728" w:rsidRPr="009B69C4">
        <w:rPr>
          <w:rFonts w:ascii="Arial" w:hAnsi="Arial" w:cs="Arial"/>
          <w:sz w:val="20"/>
          <w:szCs w:val="20"/>
        </w:rPr>
        <w:t xml:space="preserve">via the </w:t>
      </w:r>
      <w:hyperlink r:id="rId10" w:history="1">
        <w:r w:rsidR="0061558F" w:rsidRPr="0061558F">
          <w:rPr>
            <w:rStyle w:val="Hyperlink"/>
            <w:rFonts w:ascii="Arial" w:hAnsi="Arial" w:cs="Arial"/>
            <w:sz w:val="20"/>
            <w:szCs w:val="20"/>
          </w:rPr>
          <w:t>Peop</w:t>
        </w:r>
        <w:r w:rsidR="0061558F" w:rsidRPr="0061558F">
          <w:rPr>
            <w:rStyle w:val="Hyperlink"/>
            <w:rFonts w:ascii="Arial" w:hAnsi="Arial" w:cs="Arial"/>
            <w:sz w:val="20"/>
            <w:szCs w:val="20"/>
          </w:rPr>
          <w:t>l</w:t>
        </w:r>
        <w:r w:rsidR="0061558F" w:rsidRPr="0061558F">
          <w:rPr>
            <w:rStyle w:val="Hyperlink"/>
            <w:rFonts w:ascii="Arial" w:hAnsi="Arial" w:cs="Arial"/>
            <w:sz w:val="20"/>
            <w:szCs w:val="20"/>
          </w:rPr>
          <w:t>e a</w:t>
        </w:r>
        <w:r w:rsidR="0061558F" w:rsidRPr="0061558F">
          <w:rPr>
            <w:rStyle w:val="Hyperlink"/>
            <w:rFonts w:ascii="Arial" w:hAnsi="Arial" w:cs="Arial"/>
            <w:sz w:val="20"/>
            <w:szCs w:val="20"/>
          </w:rPr>
          <w:t>n</w:t>
        </w:r>
        <w:r w:rsidR="0061558F" w:rsidRPr="0061558F">
          <w:rPr>
            <w:rStyle w:val="Hyperlink"/>
            <w:rFonts w:ascii="Arial" w:hAnsi="Arial" w:cs="Arial"/>
            <w:sz w:val="20"/>
            <w:szCs w:val="20"/>
          </w:rPr>
          <w:t>d</w:t>
        </w:r>
        <w:r w:rsidR="0061558F" w:rsidRPr="0061558F">
          <w:rPr>
            <w:rStyle w:val="Hyperlink"/>
            <w:rFonts w:ascii="Arial" w:hAnsi="Arial" w:cs="Arial"/>
            <w:sz w:val="20"/>
            <w:szCs w:val="20"/>
          </w:rPr>
          <w:t xml:space="preserve"> </w:t>
        </w:r>
        <w:r w:rsidR="0061558F" w:rsidRPr="0061558F">
          <w:rPr>
            <w:rStyle w:val="Hyperlink"/>
            <w:rFonts w:ascii="Arial" w:hAnsi="Arial" w:cs="Arial"/>
            <w:sz w:val="20"/>
            <w:szCs w:val="20"/>
          </w:rPr>
          <w:t>Culture website</w:t>
        </w:r>
      </w:hyperlink>
      <w:r w:rsidR="0061558F">
        <w:rPr>
          <w:rFonts w:ascii="Arial" w:hAnsi="Arial" w:cs="Arial"/>
          <w:sz w:val="20"/>
          <w:szCs w:val="20"/>
        </w:rPr>
        <w:t>.</w:t>
      </w:r>
    </w:p>
    <w:p w:rsidR="00886658" w:rsidRPr="009B69C4" w:rsidRDefault="00886658" w:rsidP="003A3050">
      <w:pPr>
        <w:autoSpaceDE w:val="0"/>
        <w:autoSpaceDN w:val="0"/>
        <w:adjustRightInd w:val="0"/>
        <w:ind w:left="720"/>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7.</w:t>
      </w:r>
      <w:r w:rsidRPr="009B69C4">
        <w:rPr>
          <w:rFonts w:ascii="Arial" w:hAnsi="Arial"/>
          <w:sz w:val="20"/>
        </w:rPr>
        <w:tab/>
      </w:r>
      <w:r w:rsidRPr="009B69C4">
        <w:rPr>
          <w:rFonts w:ascii="Arial" w:hAnsi="Arial"/>
          <w:sz w:val="20"/>
          <w:u w:val="single"/>
        </w:rPr>
        <w:t>Superannuation</w:t>
      </w:r>
    </w:p>
    <w:p w:rsidR="00886658" w:rsidRPr="009B69C4" w:rsidRDefault="00886658" w:rsidP="00886658">
      <w:pPr>
        <w:jc w:val="both"/>
        <w:rPr>
          <w:rFonts w:ascii="Arial" w:hAnsi="Arial"/>
          <w:sz w:val="20"/>
        </w:rPr>
      </w:pPr>
    </w:p>
    <w:p w:rsidR="00886658" w:rsidRPr="009B69C4" w:rsidRDefault="00886658" w:rsidP="00DF3267">
      <w:pPr>
        <w:ind w:left="720"/>
        <w:rPr>
          <w:rFonts w:ascii="Arial" w:hAnsi="Arial"/>
          <w:sz w:val="20"/>
          <w:szCs w:val="20"/>
        </w:rPr>
      </w:pPr>
      <w:r w:rsidRPr="009B69C4">
        <w:rPr>
          <w:rFonts w:ascii="Arial" w:hAnsi="Arial"/>
          <w:sz w:val="20"/>
          <w:szCs w:val="20"/>
        </w:rPr>
        <w:t>Membership of the Retirement Benefits Plan (known as RBP) will be available to those staff in Grades 1-5.</w:t>
      </w:r>
      <w:r w:rsidR="00252B4D" w:rsidRPr="009B69C4">
        <w:rPr>
          <w:rFonts w:ascii="Arial" w:hAnsi="Arial"/>
          <w:sz w:val="20"/>
          <w:szCs w:val="20"/>
        </w:rPr>
        <w:t xml:space="preserve">  You will be automatically enrolled into the RBP scheme.  This scheme is considered an appropriate scheme under the Pension</w:t>
      </w:r>
      <w:r w:rsidR="00755B45" w:rsidRPr="009B69C4">
        <w:rPr>
          <w:rFonts w:ascii="Arial" w:hAnsi="Arial"/>
          <w:sz w:val="20"/>
          <w:szCs w:val="20"/>
        </w:rPr>
        <w:t>s</w:t>
      </w:r>
      <w:r w:rsidR="00252B4D" w:rsidRPr="009B69C4">
        <w:rPr>
          <w:rFonts w:ascii="Arial" w:hAnsi="Arial"/>
          <w:sz w:val="20"/>
          <w:szCs w:val="20"/>
        </w:rPr>
        <w:t xml:space="preserve"> Act 2008.  </w:t>
      </w:r>
    </w:p>
    <w:p w:rsidR="00886658" w:rsidRPr="009B69C4" w:rsidRDefault="00886658" w:rsidP="00886658">
      <w:pPr>
        <w:jc w:val="both"/>
        <w:rPr>
          <w:rFonts w:ascii="Arial" w:hAnsi="Arial"/>
          <w:sz w:val="20"/>
          <w:szCs w:val="20"/>
        </w:rPr>
      </w:pPr>
    </w:p>
    <w:p w:rsidR="00886658" w:rsidRPr="009B69C4" w:rsidRDefault="00886658" w:rsidP="00DF3267">
      <w:pPr>
        <w:ind w:left="720"/>
        <w:rPr>
          <w:rFonts w:ascii="Arial" w:hAnsi="Arial"/>
          <w:sz w:val="20"/>
          <w:szCs w:val="20"/>
        </w:rPr>
      </w:pPr>
      <w:r w:rsidRPr="009B69C4">
        <w:rPr>
          <w:rFonts w:ascii="Arial" w:hAnsi="Arial"/>
          <w:sz w:val="20"/>
          <w:szCs w:val="20"/>
        </w:rPr>
        <w:t>Membership of the Universities Superannuation Scheme (known as USS) will be available to those staff in Grade</w:t>
      </w:r>
      <w:r w:rsidR="00CD248E">
        <w:rPr>
          <w:rFonts w:ascii="Arial" w:hAnsi="Arial"/>
          <w:sz w:val="20"/>
          <w:szCs w:val="20"/>
        </w:rPr>
        <w:t>s</w:t>
      </w:r>
      <w:r w:rsidRPr="009B69C4">
        <w:rPr>
          <w:rFonts w:ascii="Arial" w:hAnsi="Arial"/>
          <w:sz w:val="20"/>
          <w:szCs w:val="20"/>
        </w:rPr>
        <w:t xml:space="preserve"> 6/AC1 or above.</w:t>
      </w:r>
      <w:r w:rsidR="00252B4D" w:rsidRPr="009B69C4">
        <w:rPr>
          <w:rFonts w:ascii="Arial" w:hAnsi="Arial"/>
          <w:sz w:val="20"/>
          <w:szCs w:val="20"/>
        </w:rPr>
        <w:t xml:space="preserve">  You will be automatically enrolled into the USS scheme.  This scheme is considered an appropriate scheme under the Pension</w:t>
      </w:r>
      <w:r w:rsidR="00755B45" w:rsidRPr="009B69C4">
        <w:rPr>
          <w:rFonts w:ascii="Arial" w:hAnsi="Arial"/>
          <w:sz w:val="20"/>
          <w:szCs w:val="20"/>
        </w:rPr>
        <w:t>s</w:t>
      </w:r>
      <w:r w:rsidR="00252B4D" w:rsidRPr="009B69C4">
        <w:rPr>
          <w:rFonts w:ascii="Arial" w:hAnsi="Arial"/>
          <w:sz w:val="20"/>
          <w:szCs w:val="20"/>
        </w:rPr>
        <w:t xml:space="preserve"> Act 2008.    </w:t>
      </w:r>
    </w:p>
    <w:p w:rsidR="00886658" w:rsidRPr="009B69C4" w:rsidRDefault="00886658" w:rsidP="00886658">
      <w:pPr>
        <w:ind w:left="720"/>
        <w:rPr>
          <w:rFonts w:ascii="Arial" w:hAnsi="Arial"/>
          <w:sz w:val="20"/>
        </w:rPr>
      </w:pPr>
    </w:p>
    <w:p w:rsidR="00886658" w:rsidRPr="009B69C4" w:rsidRDefault="00886658" w:rsidP="00886658">
      <w:pPr>
        <w:ind w:left="720"/>
        <w:rPr>
          <w:rFonts w:ascii="Arial" w:hAnsi="Arial"/>
          <w:sz w:val="20"/>
        </w:rPr>
      </w:pPr>
      <w:r w:rsidRPr="009B69C4">
        <w:rPr>
          <w:rFonts w:ascii="Arial" w:hAnsi="Arial"/>
          <w:sz w:val="20"/>
        </w:rPr>
        <w:t>Further details are available from the Pensions Office, Finance Directorate.</w:t>
      </w:r>
    </w:p>
    <w:p w:rsidR="00886658" w:rsidRDefault="00886658" w:rsidP="00886658">
      <w:pPr>
        <w:rPr>
          <w:rFonts w:ascii="Arial" w:hAnsi="Arial"/>
          <w:sz w:val="20"/>
        </w:rPr>
      </w:pPr>
    </w:p>
    <w:p w:rsidR="00C85178" w:rsidRPr="009B69C4" w:rsidRDefault="00C85178" w:rsidP="00886658">
      <w:pPr>
        <w:rPr>
          <w:rFonts w:ascii="Arial" w:hAnsi="Arial"/>
          <w:sz w:val="20"/>
        </w:rPr>
      </w:pPr>
      <w:r>
        <w:rPr>
          <w:rFonts w:ascii="Arial" w:hAnsi="Arial"/>
          <w:sz w:val="20"/>
        </w:rPr>
        <w:br w:type="page"/>
      </w:r>
    </w:p>
    <w:p w:rsidR="00886658" w:rsidRPr="009B69C4" w:rsidRDefault="00886658" w:rsidP="00886658">
      <w:pPr>
        <w:rPr>
          <w:rFonts w:ascii="Arial" w:hAnsi="Arial"/>
          <w:sz w:val="20"/>
          <w:szCs w:val="20"/>
        </w:rPr>
      </w:pPr>
      <w:r w:rsidRPr="009B69C4">
        <w:rPr>
          <w:rFonts w:ascii="Arial" w:hAnsi="Arial"/>
          <w:sz w:val="20"/>
        </w:rPr>
        <w:lastRenderedPageBreak/>
        <w:t>8.</w:t>
      </w:r>
      <w:r w:rsidRPr="009B69C4">
        <w:rPr>
          <w:rFonts w:ascii="Arial" w:hAnsi="Arial"/>
          <w:sz w:val="20"/>
        </w:rPr>
        <w:tab/>
      </w:r>
      <w:r w:rsidRPr="009B69C4">
        <w:rPr>
          <w:rFonts w:ascii="Arial" w:hAnsi="Arial"/>
          <w:sz w:val="20"/>
          <w:u w:val="single"/>
        </w:rPr>
        <w:t>Trade Union and Collective Agreements</w:t>
      </w:r>
    </w:p>
    <w:p w:rsidR="00886658" w:rsidRPr="009B69C4" w:rsidRDefault="00886658" w:rsidP="00886658">
      <w:pPr>
        <w:rPr>
          <w:rFonts w:ascii="Arial" w:hAnsi="Arial"/>
          <w:sz w:val="20"/>
          <w:szCs w:val="20"/>
        </w:rPr>
      </w:pPr>
    </w:p>
    <w:p w:rsidR="002B21EE" w:rsidRPr="009B69C4" w:rsidRDefault="002B21EE" w:rsidP="00CD248E">
      <w:pPr>
        <w:autoSpaceDE w:val="0"/>
        <w:autoSpaceDN w:val="0"/>
        <w:adjustRightInd w:val="0"/>
        <w:ind w:left="720"/>
        <w:jc w:val="both"/>
        <w:rPr>
          <w:rFonts w:ascii="Arial" w:hAnsi="Arial" w:cs="Arial"/>
          <w:sz w:val="20"/>
          <w:szCs w:val="20"/>
        </w:rPr>
      </w:pPr>
      <w:r w:rsidRPr="009B69C4">
        <w:rPr>
          <w:rFonts w:ascii="Arial" w:hAnsi="Arial"/>
          <w:sz w:val="20"/>
        </w:rPr>
        <w:t>The University recognises particular Trade Unions for negotiation and consultation purposes for specific groups of staff.</w:t>
      </w:r>
      <w:r w:rsidR="00CD248E">
        <w:rPr>
          <w:rFonts w:ascii="Arial" w:hAnsi="Arial"/>
          <w:sz w:val="20"/>
        </w:rPr>
        <w:t xml:space="preserve">  </w:t>
      </w:r>
      <w:r w:rsidRPr="009B69C4">
        <w:rPr>
          <w:rFonts w:ascii="Arial" w:hAnsi="Arial"/>
          <w:sz w:val="20"/>
        </w:rPr>
        <w:t xml:space="preserve">Further details are available from </w:t>
      </w:r>
      <w:r w:rsidR="0061558F">
        <w:rPr>
          <w:rFonts w:ascii="Arial" w:hAnsi="Arial"/>
          <w:sz w:val="20"/>
        </w:rPr>
        <w:t>People and Culture</w:t>
      </w:r>
      <w:r w:rsidRPr="009B69C4">
        <w:rPr>
          <w:rFonts w:ascii="Arial" w:hAnsi="Arial"/>
          <w:sz w:val="20"/>
        </w:rPr>
        <w:t xml:space="preserve"> </w:t>
      </w:r>
      <w:r w:rsidR="006058E8" w:rsidRPr="009B69C4">
        <w:rPr>
          <w:rFonts w:ascii="Arial" w:hAnsi="Arial"/>
          <w:sz w:val="20"/>
          <w:szCs w:val="20"/>
        </w:rPr>
        <w:t xml:space="preserve">or </w:t>
      </w:r>
      <w:r w:rsidR="006058E8" w:rsidRPr="009B69C4">
        <w:rPr>
          <w:rFonts w:ascii="Arial" w:hAnsi="Arial" w:cs="Arial"/>
          <w:sz w:val="20"/>
          <w:szCs w:val="20"/>
        </w:rPr>
        <w:t xml:space="preserve">via the </w:t>
      </w:r>
      <w:hyperlink r:id="rId11" w:history="1">
        <w:r w:rsidR="0061558F" w:rsidRPr="0061558F">
          <w:rPr>
            <w:rStyle w:val="Hyperlink"/>
            <w:rFonts w:ascii="Arial" w:hAnsi="Arial" w:cs="Arial"/>
            <w:sz w:val="20"/>
            <w:szCs w:val="20"/>
          </w:rPr>
          <w:t>People a</w:t>
        </w:r>
        <w:r w:rsidR="0061558F" w:rsidRPr="0061558F">
          <w:rPr>
            <w:rStyle w:val="Hyperlink"/>
            <w:rFonts w:ascii="Arial" w:hAnsi="Arial" w:cs="Arial"/>
            <w:sz w:val="20"/>
            <w:szCs w:val="20"/>
          </w:rPr>
          <w:t>n</w:t>
        </w:r>
        <w:r w:rsidR="0061558F" w:rsidRPr="0061558F">
          <w:rPr>
            <w:rStyle w:val="Hyperlink"/>
            <w:rFonts w:ascii="Arial" w:hAnsi="Arial" w:cs="Arial"/>
            <w:sz w:val="20"/>
            <w:szCs w:val="20"/>
          </w:rPr>
          <w:t>d Culture website</w:t>
        </w:r>
      </w:hyperlink>
      <w:r w:rsidR="0061558F">
        <w:rPr>
          <w:rFonts w:ascii="Arial" w:hAnsi="Arial" w:cs="Arial"/>
          <w:sz w:val="20"/>
          <w:szCs w:val="20"/>
        </w:rPr>
        <w:t xml:space="preserve">.  </w:t>
      </w:r>
      <w:r w:rsidRPr="009B69C4">
        <w:rPr>
          <w:rFonts w:ascii="Arial" w:hAnsi="Arial"/>
          <w:sz w:val="20"/>
        </w:rPr>
        <w:t>Members of staff are free to decide whether or not to become members of a trade union.</w:t>
      </w:r>
    </w:p>
    <w:p w:rsidR="002B21EE" w:rsidRPr="009B69C4" w:rsidRDefault="002B21EE" w:rsidP="002B21EE">
      <w:pPr>
        <w:ind w:left="720"/>
        <w:rPr>
          <w:rFonts w:ascii="Arial" w:hAnsi="Arial"/>
          <w:sz w:val="20"/>
          <w:szCs w:val="20"/>
        </w:rPr>
      </w:pPr>
    </w:p>
    <w:p w:rsidR="002B21EE" w:rsidRPr="009B69C4" w:rsidRDefault="002B21EE" w:rsidP="002B21EE">
      <w:pPr>
        <w:ind w:left="720"/>
        <w:rPr>
          <w:rFonts w:ascii="Arial" w:hAnsi="Arial"/>
          <w:sz w:val="20"/>
          <w:szCs w:val="20"/>
        </w:rPr>
      </w:pPr>
      <w:r w:rsidRPr="009B69C4">
        <w:rPr>
          <w:rFonts w:ascii="Arial" w:hAnsi="Arial"/>
          <w:sz w:val="20"/>
          <w:szCs w:val="20"/>
        </w:rPr>
        <w:t>Future change</w:t>
      </w:r>
      <w:r w:rsidR="008206C1" w:rsidRPr="009B69C4">
        <w:rPr>
          <w:rFonts w:ascii="Arial" w:hAnsi="Arial"/>
          <w:sz w:val="20"/>
          <w:szCs w:val="20"/>
        </w:rPr>
        <w:t>s</w:t>
      </w:r>
      <w:r w:rsidRPr="009B69C4">
        <w:rPr>
          <w:rFonts w:ascii="Arial" w:hAnsi="Arial"/>
          <w:sz w:val="20"/>
          <w:szCs w:val="20"/>
        </w:rPr>
        <w:t xml:space="preserve"> to your Conditions of Employment will be made following consultation with the recognised Trade Union and these will be automatically binding on you.  Details of any such changes can be obtained from </w:t>
      </w:r>
      <w:r w:rsidR="0061558F">
        <w:rPr>
          <w:rFonts w:ascii="Arial" w:hAnsi="Arial"/>
          <w:sz w:val="20"/>
          <w:szCs w:val="20"/>
        </w:rPr>
        <w:t>People and Culture</w:t>
      </w:r>
      <w:r w:rsidRPr="009B69C4">
        <w:rPr>
          <w:rFonts w:ascii="Arial" w:hAnsi="Arial"/>
          <w:sz w:val="20"/>
          <w:szCs w:val="20"/>
        </w:rPr>
        <w:t xml:space="preserve"> at any reasonable time.</w:t>
      </w:r>
    </w:p>
    <w:p w:rsidR="00886658" w:rsidRDefault="00886658" w:rsidP="00886658">
      <w:pPr>
        <w:ind w:left="1440" w:hanging="720"/>
        <w:jc w:val="both"/>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9.</w:t>
      </w:r>
      <w:r w:rsidRPr="009B69C4">
        <w:rPr>
          <w:rFonts w:ascii="Arial" w:hAnsi="Arial"/>
          <w:sz w:val="20"/>
        </w:rPr>
        <w:tab/>
      </w:r>
      <w:r w:rsidRPr="009B69C4">
        <w:rPr>
          <w:rFonts w:ascii="Arial" w:hAnsi="Arial"/>
          <w:sz w:val="20"/>
          <w:u w:val="single"/>
        </w:rPr>
        <w:t>Disciplinary and Grievance Procedures</w:t>
      </w:r>
    </w:p>
    <w:p w:rsidR="00886658" w:rsidRPr="009B69C4" w:rsidRDefault="00886658" w:rsidP="00886658">
      <w:pPr>
        <w:jc w:val="both"/>
        <w:rPr>
          <w:rFonts w:ascii="Arial" w:hAnsi="Arial"/>
          <w:sz w:val="20"/>
        </w:rPr>
      </w:pPr>
    </w:p>
    <w:p w:rsidR="00A76728" w:rsidRPr="009B69C4" w:rsidRDefault="00886658" w:rsidP="00EC68F4">
      <w:pPr>
        <w:autoSpaceDE w:val="0"/>
        <w:autoSpaceDN w:val="0"/>
        <w:adjustRightInd w:val="0"/>
        <w:ind w:left="720"/>
        <w:rPr>
          <w:rFonts w:ascii="Arial" w:hAnsi="Arial" w:cs="Arial"/>
          <w:sz w:val="20"/>
          <w:szCs w:val="20"/>
        </w:rPr>
      </w:pPr>
      <w:r w:rsidRPr="009B69C4">
        <w:rPr>
          <w:rFonts w:ascii="Arial" w:hAnsi="Arial"/>
          <w:sz w:val="20"/>
        </w:rPr>
        <w:t xml:space="preserve">The disciplinary and grievance procedure applicable to your category of staff is </w:t>
      </w:r>
      <w:r w:rsidR="008206C1" w:rsidRPr="009B69C4">
        <w:rPr>
          <w:rFonts w:ascii="Arial" w:hAnsi="Arial"/>
          <w:sz w:val="20"/>
        </w:rPr>
        <w:t>available from</w:t>
      </w:r>
      <w:r w:rsidR="001A68E8">
        <w:rPr>
          <w:rFonts w:ascii="Arial" w:hAnsi="Arial"/>
          <w:sz w:val="20"/>
        </w:rPr>
        <w:t xml:space="preserve"> </w:t>
      </w:r>
      <w:r w:rsidR="00B96A89">
        <w:rPr>
          <w:rFonts w:ascii="Arial" w:hAnsi="Arial"/>
          <w:sz w:val="20"/>
        </w:rPr>
        <w:t xml:space="preserve">People and Culture </w:t>
      </w:r>
      <w:r w:rsidR="008206C1" w:rsidRPr="009B69C4">
        <w:rPr>
          <w:rFonts w:ascii="Arial" w:hAnsi="Arial"/>
          <w:sz w:val="20"/>
          <w:szCs w:val="20"/>
        </w:rPr>
        <w:t xml:space="preserve">or </w:t>
      </w:r>
      <w:r w:rsidR="008206C1" w:rsidRPr="009B69C4">
        <w:rPr>
          <w:rFonts w:ascii="Arial" w:hAnsi="Arial" w:cs="Arial"/>
          <w:sz w:val="20"/>
          <w:szCs w:val="20"/>
        </w:rPr>
        <w:t xml:space="preserve">via </w:t>
      </w:r>
      <w:r w:rsidR="00EC68F4" w:rsidRPr="009B69C4">
        <w:rPr>
          <w:rFonts w:ascii="Arial" w:hAnsi="Arial" w:cs="Arial"/>
          <w:sz w:val="20"/>
          <w:szCs w:val="20"/>
        </w:rPr>
        <w:t xml:space="preserve">the </w:t>
      </w:r>
      <w:hyperlink r:id="rId12" w:history="1">
        <w:r w:rsidR="00EC68F4" w:rsidRPr="0061558F">
          <w:rPr>
            <w:rStyle w:val="Hyperlink"/>
            <w:rFonts w:ascii="Arial" w:hAnsi="Arial" w:cs="Arial"/>
            <w:sz w:val="20"/>
            <w:szCs w:val="20"/>
          </w:rPr>
          <w:t>People and Culture website</w:t>
        </w:r>
      </w:hyperlink>
      <w:r w:rsidR="00EC68F4">
        <w:rPr>
          <w:rFonts w:ascii="Arial" w:hAnsi="Arial" w:cs="Arial"/>
          <w:sz w:val="20"/>
          <w:szCs w:val="20"/>
        </w:rPr>
        <w:t>.</w:t>
      </w:r>
    </w:p>
    <w:p w:rsidR="008206C1" w:rsidRPr="009B69C4" w:rsidRDefault="008206C1" w:rsidP="00A76728">
      <w:pPr>
        <w:ind w:left="720"/>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10.</w:t>
      </w:r>
      <w:r w:rsidRPr="009B69C4">
        <w:rPr>
          <w:rFonts w:ascii="Arial" w:hAnsi="Arial"/>
          <w:sz w:val="20"/>
        </w:rPr>
        <w:tab/>
      </w:r>
      <w:r w:rsidRPr="009B69C4">
        <w:rPr>
          <w:rFonts w:ascii="Arial" w:hAnsi="Arial"/>
          <w:sz w:val="20"/>
          <w:u w:val="single"/>
        </w:rPr>
        <w:t>Special Leave</w:t>
      </w:r>
    </w:p>
    <w:p w:rsidR="00886658" w:rsidRPr="009B69C4" w:rsidRDefault="00886658" w:rsidP="00886658">
      <w:pPr>
        <w:ind w:left="1440" w:hanging="720"/>
        <w:jc w:val="both"/>
        <w:rPr>
          <w:rFonts w:ascii="Arial" w:hAnsi="Arial"/>
          <w:sz w:val="20"/>
        </w:rPr>
      </w:pPr>
    </w:p>
    <w:p w:rsidR="00C52F10" w:rsidRDefault="00886658" w:rsidP="00DC18B3">
      <w:pPr>
        <w:ind w:left="720"/>
        <w:rPr>
          <w:rFonts w:ascii="Arial" w:hAnsi="Arial"/>
          <w:sz w:val="20"/>
          <w:szCs w:val="20"/>
        </w:rPr>
      </w:pPr>
      <w:r w:rsidRPr="009B69C4">
        <w:rPr>
          <w:rFonts w:ascii="Arial" w:hAnsi="Arial"/>
          <w:sz w:val="20"/>
          <w:szCs w:val="20"/>
        </w:rPr>
        <w:t xml:space="preserve">The University has developed the following policies and procedures relating to special leave. </w:t>
      </w:r>
    </w:p>
    <w:p w:rsidR="00886658" w:rsidRPr="009B69C4" w:rsidRDefault="00886658" w:rsidP="00DC18B3">
      <w:pPr>
        <w:ind w:left="720"/>
        <w:rPr>
          <w:rFonts w:ascii="Arial" w:hAnsi="Arial"/>
          <w:sz w:val="20"/>
          <w:szCs w:val="20"/>
        </w:rPr>
      </w:pPr>
      <w:r w:rsidRPr="009B69C4">
        <w:rPr>
          <w:rFonts w:ascii="Arial" w:hAnsi="Arial"/>
          <w:sz w:val="20"/>
          <w:szCs w:val="20"/>
        </w:rPr>
        <w:t xml:space="preserve"> </w:t>
      </w:r>
    </w:p>
    <w:p w:rsidR="00886658" w:rsidRPr="009B69C4" w:rsidRDefault="00886658" w:rsidP="00886658">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Maternity Leave</w:t>
      </w:r>
    </w:p>
    <w:p w:rsidR="00886658" w:rsidRPr="009B69C4" w:rsidRDefault="00886658" w:rsidP="00886658">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Work Life Balance Policies e.g. Adoption Leave; Career Break; Dependant Leave Flexible Working; Parental Leave; Paternity Leave</w:t>
      </w:r>
    </w:p>
    <w:p w:rsidR="00886658" w:rsidRPr="009B69C4" w:rsidRDefault="00886658" w:rsidP="00886658">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Jury Service</w:t>
      </w:r>
    </w:p>
    <w:p w:rsidR="00886658" w:rsidRPr="009B69C4" w:rsidRDefault="00886658" w:rsidP="00715B63">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Auxilliary Forces</w:t>
      </w:r>
    </w:p>
    <w:p w:rsidR="00EA18F9" w:rsidRPr="009B69C4" w:rsidRDefault="00EA18F9" w:rsidP="00715B63">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Sabbatical Leave and Leave of Absence (Academic Staff)</w:t>
      </w:r>
    </w:p>
    <w:p w:rsidR="00DC18B3" w:rsidRPr="009B69C4" w:rsidRDefault="00DC18B3" w:rsidP="00715B63">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Study Leave</w:t>
      </w:r>
    </w:p>
    <w:p w:rsidR="00DC18B3" w:rsidRPr="009B69C4" w:rsidRDefault="00DC18B3" w:rsidP="00715B63">
      <w:pPr>
        <w:numPr>
          <w:ilvl w:val="0"/>
          <w:numId w:val="2"/>
        </w:numPr>
        <w:tabs>
          <w:tab w:val="clear" w:pos="2160"/>
          <w:tab w:val="num" w:pos="720"/>
        </w:tabs>
        <w:ind w:left="960" w:hanging="240"/>
        <w:rPr>
          <w:rFonts w:ascii="Arial" w:hAnsi="Arial"/>
          <w:sz w:val="20"/>
          <w:szCs w:val="20"/>
        </w:rPr>
      </w:pPr>
      <w:r w:rsidRPr="009B69C4">
        <w:rPr>
          <w:rFonts w:ascii="Arial" w:hAnsi="Arial"/>
          <w:sz w:val="20"/>
          <w:szCs w:val="20"/>
        </w:rPr>
        <w:t>Time off for Trade Union Activities</w:t>
      </w:r>
    </w:p>
    <w:p w:rsidR="00886658" w:rsidRPr="009B69C4" w:rsidRDefault="00886658" w:rsidP="00886658">
      <w:pPr>
        <w:ind w:left="720"/>
        <w:rPr>
          <w:rFonts w:ascii="Arial" w:hAnsi="Arial"/>
          <w:sz w:val="20"/>
          <w:szCs w:val="20"/>
        </w:rPr>
      </w:pPr>
    </w:p>
    <w:p w:rsidR="009C4FBC" w:rsidRPr="009B69C4" w:rsidRDefault="00886658" w:rsidP="009C4FBC">
      <w:pPr>
        <w:ind w:left="720"/>
        <w:rPr>
          <w:rFonts w:ascii="Arial" w:hAnsi="Arial" w:cs="Arial"/>
          <w:sz w:val="20"/>
          <w:szCs w:val="20"/>
        </w:rPr>
      </w:pPr>
      <w:r w:rsidRPr="009B69C4">
        <w:rPr>
          <w:rFonts w:ascii="Arial" w:hAnsi="Arial"/>
          <w:sz w:val="20"/>
        </w:rPr>
        <w:t xml:space="preserve">Full details are available from </w:t>
      </w:r>
      <w:r w:rsidR="007B3D1F">
        <w:rPr>
          <w:rFonts w:ascii="Arial" w:hAnsi="Arial"/>
          <w:sz w:val="20"/>
        </w:rPr>
        <w:t xml:space="preserve">People and Culture/Diversity and Inclusion or </w:t>
      </w:r>
      <w:r w:rsidR="009C4FBC" w:rsidRPr="009B69C4">
        <w:rPr>
          <w:rFonts w:ascii="Arial" w:hAnsi="Arial" w:cs="Arial"/>
          <w:sz w:val="20"/>
          <w:szCs w:val="20"/>
        </w:rPr>
        <w:t xml:space="preserve">via the </w:t>
      </w:r>
      <w:hyperlink r:id="rId13" w:history="1">
        <w:r w:rsidR="007B3D1F" w:rsidRPr="007B3D1F">
          <w:rPr>
            <w:rStyle w:val="Hyperlink"/>
            <w:rFonts w:ascii="Arial" w:hAnsi="Arial" w:cs="Arial"/>
            <w:sz w:val="20"/>
            <w:szCs w:val="20"/>
          </w:rPr>
          <w:t>People and Culture w</w:t>
        </w:r>
        <w:r w:rsidR="007B3D1F" w:rsidRPr="007B3D1F">
          <w:rPr>
            <w:rStyle w:val="Hyperlink"/>
            <w:rFonts w:ascii="Arial" w:hAnsi="Arial" w:cs="Arial"/>
            <w:sz w:val="20"/>
            <w:szCs w:val="20"/>
          </w:rPr>
          <w:t>e</w:t>
        </w:r>
        <w:r w:rsidR="007B3D1F" w:rsidRPr="007B3D1F">
          <w:rPr>
            <w:rStyle w:val="Hyperlink"/>
            <w:rFonts w:ascii="Arial" w:hAnsi="Arial" w:cs="Arial"/>
            <w:sz w:val="20"/>
            <w:szCs w:val="20"/>
          </w:rPr>
          <w:t>bsite</w:t>
        </w:r>
      </w:hyperlink>
      <w:r w:rsidR="007B3D1F">
        <w:rPr>
          <w:rFonts w:ascii="Arial" w:hAnsi="Arial" w:cs="Arial"/>
          <w:sz w:val="20"/>
          <w:szCs w:val="20"/>
        </w:rPr>
        <w:t>.</w:t>
      </w:r>
    </w:p>
    <w:p w:rsidR="005B481E" w:rsidRPr="009B69C4" w:rsidRDefault="005B481E" w:rsidP="009C4FBC">
      <w:pPr>
        <w:ind w:left="720"/>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11.</w:t>
      </w:r>
      <w:r w:rsidRPr="009B69C4">
        <w:rPr>
          <w:rFonts w:ascii="Arial" w:hAnsi="Arial"/>
          <w:sz w:val="20"/>
        </w:rPr>
        <w:tab/>
      </w:r>
      <w:r w:rsidR="00DF3267">
        <w:rPr>
          <w:rFonts w:ascii="Arial" w:hAnsi="Arial"/>
          <w:sz w:val="20"/>
          <w:u w:val="single"/>
        </w:rPr>
        <w:t>Organisational</w:t>
      </w:r>
      <w:r w:rsidRPr="009B69C4">
        <w:rPr>
          <w:rFonts w:ascii="Arial" w:hAnsi="Arial"/>
          <w:sz w:val="20"/>
          <w:u w:val="single"/>
        </w:rPr>
        <w:t xml:space="preserve"> Development</w:t>
      </w:r>
    </w:p>
    <w:p w:rsidR="00886658" w:rsidRPr="009B69C4" w:rsidRDefault="00886658" w:rsidP="00886658">
      <w:pPr>
        <w:jc w:val="both"/>
        <w:rPr>
          <w:rFonts w:ascii="Arial" w:hAnsi="Arial"/>
          <w:sz w:val="20"/>
        </w:rPr>
      </w:pPr>
    </w:p>
    <w:p w:rsidR="00886658" w:rsidRPr="009B69C4" w:rsidRDefault="00886658" w:rsidP="000D4888">
      <w:pPr>
        <w:ind w:left="720"/>
        <w:rPr>
          <w:rFonts w:ascii="Arial" w:hAnsi="Arial" w:cs="Arial"/>
          <w:sz w:val="20"/>
          <w:szCs w:val="20"/>
        </w:rPr>
      </w:pPr>
      <w:r w:rsidRPr="009B69C4">
        <w:rPr>
          <w:rFonts w:ascii="Arial" w:hAnsi="Arial"/>
          <w:sz w:val="20"/>
        </w:rPr>
        <w:t xml:space="preserve">The University offers staff the opportunity to participate in a range of training and development activities.  Full details are available from </w:t>
      </w:r>
      <w:r w:rsidR="00DF3267">
        <w:rPr>
          <w:rFonts w:ascii="Arial" w:hAnsi="Arial"/>
          <w:sz w:val="20"/>
        </w:rPr>
        <w:t>Organisational Development</w:t>
      </w:r>
      <w:r w:rsidRPr="009B69C4">
        <w:rPr>
          <w:rFonts w:ascii="Arial" w:hAnsi="Arial"/>
          <w:sz w:val="20"/>
        </w:rPr>
        <w:t xml:space="preserve"> </w:t>
      </w:r>
      <w:r w:rsidR="00B038CC" w:rsidRPr="009B69C4">
        <w:rPr>
          <w:rFonts w:ascii="Arial" w:hAnsi="Arial"/>
          <w:sz w:val="20"/>
        </w:rPr>
        <w:t xml:space="preserve">or </w:t>
      </w:r>
      <w:r w:rsidR="009C4FBC" w:rsidRPr="009B69C4">
        <w:rPr>
          <w:rFonts w:ascii="Arial" w:hAnsi="Arial" w:cs="Arial"/>
          <w:sz w:val="20"/>
          <w:szCs w:val="20"/>
        </w:rPr>
        <w:t xml:space="preserve">via the </w:t>
      </w:r>
      <w:hyperlink r:id="rId14" w:history="1">
        <w:r w:rsidR="007B3D1F" w:rsidRPr="00931818">
          <w:rPr>
            <w:rStyle w:val="Hyperlink"/>
            <w:rFonts w:ascii="Arial" w:hAnsi="Arial" w:cs="Arial"/>
            <w:sz w:val="20"/>
            <w:szCs w:val="20"/>
          </w:rPr>
          <w:t>Peo</w:t>
        </w:r>
        <w:r w:rsidR="007B3D1F" w:rsidRPr="00931818">
          <w:rPr>
            <w:rStyle w:val="Hyperlink"/>
            <w:rFonts w:ascii="Arial" w:hAnsi="Arial" w:cs="Arial"/>
            <w:sz w:val="20"/>
            <w:szCs w:val="20"/>
          </w:rPr>
          <w:t>p</w:t>
        </w:r>
        <w:r w:rsidR="007B3D1F" w:rsidRPr="00931818">
          <w:rPr>
            <w:rStyle w:val="Hyperlink"/>
            <w:rFonts w:ascii="Arial" w:hAnsi="Arial" w:cs="Arial"/>
            <w:sz w:val="20"/>
            <w:szCs w:val="20"/>
          </w:rPr>
          <w:t>le and Culture website</w:t>
        </w:r>
      </w:hyperlink>
      <w:r w:rsidR="007B3D1F">
        <w:rPr>
          <w:rFonts w:ascii="Arial" w:hAnsi="Arial" w:cs="Arial"/>
          <w:sz w:val="20"/>
          <w:szCs w:val="20"/>
        </w:rPr>
        <w:t>.</w:t>
      </w:r>
    </w:p>
    <w:p w:rsidR="009C4FBC" w:rsidRPr="009B69C4" w:rsidRDefault="009C4FBC" w:rsidP="009C4FBC">
      <w:pPr>
        <w:ind w:left="720"/>
        <w:jc w:val="both"/>
        <w:rPr>
          <w:rFonts w:ascii="Arial" w:hAnsi="Arial"/>
          <w:sz w:val="20"/>
        </w:rPr>
      </w:pPr>
    </w:p>
    <w:p w:rsidR="00886658" w:rsidRPr="009B69C4" w:rsidRDefault="00886658" w:rsidP="00886658">
      <w:pPr>
        <w:rPr>
          <w:rFonts w:ascii="Arial" w:hAnsi="Arial"/>
          <w:sz w:val="20"/>
          <w:szCs w:val="20"/>
        </w:rPr>
      </w:pPr>
      <w:r w:rsidRPr="009B69C4">
        <w:rPr>
          <w:rFonts w:ascii="Arial" w:hAnsi="Arial"/>
          <w:sz w:val="20"/>
          <w:szCs w:val="20"/>
        </w:rPr>
        <w:t>12.</w:t>
      </w:r>
      <w:r w:rsidRPr="009B69C4">
        <w:rPr>
          <w:rFonts w:ascii="Arial" w:hAnsi="Arial"/>
          <w:sz w:val="20"/>
          <w:szCs w:val="20"/>
        </w:rPr>
        <w:tab/>
      </w:r>
      <w:r w:rsidR="00E30E64" w:rsidRPr="009B69C4">
        <w:rPr>
          <w:rFonts w:ascii="Arial" w:hAnsi="Arial"/>
          <w:sz w:val="20"/>
          <w:szCs w:val="20"/>
          <w:u w:val="single"/>
        </w:rPr>
        <w:t>Outside</w:t>
      </w:r>
      <w:r w:rsidRPr="009B69C4">
        <w:rPr>
          <w:rFonts w:ascii="Arial" w:hAnsi="Arial"/>
          <w:sz w:val="20"/>
          <w:szCs w:val="20"/>
          <w:u w:val="single"/>
        </w:rPr>
        <w:t xml:space="preserve"> Work/Consultancy Work</w:t>
      </w:r>
    </w:p>
    <w:p w:rsidR="00886658" w:rsidRPr="009B69C4" w:rsidRDefault="00886658" w:rsidP="00886658">
      <w:pPr>
        <w:rPr>
          <w:rFonts w:ascii="Arial" w:hAnsi="Arial"/>
          <w:sz w:val="20"/>
          <w:szCs w:val="20"/>
        </w:rPr>
      </w:pPr>
    </w:p>
    <w:p w:rsidR="000F1C1B" w:rsidRPr="009B69C4" w:rsidRDefault="00E30E64" w:rsidP="000D4888">
      <w:pPr>
        <w:ind w:left="720"/>
        <w:rPr>
          <w:rFonts w:ascii="Arial" w:hAnsi="Arial" w:cs="Arial"/>
          <w:sz w:val="20"/>
          <w:szCs w:val="20"/>
          <w:u w:val="single"/>
        </w:rPr>
      </w:pPr>
      <w:r w:rsidRPr="009B69C4">
        <w:rPr>
          <w:rFonts w:ascii="Arial" w:hAnsi="Arial"/>
          <w:sz w:val="20"/>
          <w:szCs w:val="20"/>
        </w:rPr>
        <w:t>In situations where there may be an effect on satisfactory performance of normal university duties or a conflict of interest in staff undertaking outside or consultancy work s</w:t>
      </w:r>
      <w:r w:rsidR="00886658" w:rsidRPr="009B69C4">
        <w:rPr>
          <w:rFonts w:ascii="Arial" w:hAnsi="Arial"/>
          <w:sz w:val="20"/>
          <w:szCs w:val="20"/>
        </w:rPr>
        <w:t>taff must obtain</w:t>
      </w:r>
      <w:r w:rsidRPr="009B69C4">
        <w:rPr>
          <w:rFonts w:ascii="Arial" w:hAnsi="Arial"/>
          <w:sz w:val="20"/>
          <w:szCs w:val="20"/>
        </w:rPr>
        <w:t xml:space="preserve"> permission to engage in such</w:t>
      </w:r>
      <w:r w:rsidR="00886658" w:rsidRPr="009B69C4">
        <w:rPr>
          <w:rFonts w:ascii="Arial" w:hAnsi="Arial"/>
          <w:sz w:val="20"/>
          <w:szCs w:val="20"/>
        </w:rPr>
        <w:t xml:space="preserve"> work.  </w:t>
      </w:r>
      <w:r w:rsidR="00886658" w:rsidRPr="009B69C4">
        <w:rPr>
          <w:rFonts w:ascii="Arial" w:hAnsi="Arial"/>
          <w:sz w:val="20"/>
        </w:rPr>
        <w:t xml:space="preserve">Full details of the relevant policy and procedure are available </w:t>
      </w:r>
      <w:r w:rsidR="000F1C1B" w:rsidRPr="009B69C4">
        <w:rPr>
          <w:rFonts w:ascii="Arial" w:hAnsi="Arial" w:cs="Arial"/>
          <w:sz w:val="20"/>
          <w:szCs w:val="20"/>
        </w:rPr>
        <w:t xml:space="preserve">via the </w:t>
      </w:r>
      <w:hyperlink r:id="rId15" w:history="1">
        <w:r w:rsidR="008D3917" w:rsidRPr="008D3917">
          <w:rPr>
            <w:rStyle w:val="Hyperlink"/>
            <w:rFonts w:ascii="Arial" w:hAnsi="Arial" w:cs="Arial"/>
            <w:sz w:val="20"/>
            <w:szCs w:val="20"/>
          </w:rPr>
          <w:t>People and Cult</w:t>
        </w:r>
        <w:r w:rsidR="008D3917" w:rsidRPr="008D3917">
          <w:rPr>
            <w:rStyle w:val="Hyperlink"/>
            <w:rFonts w:ascii="Arial" w:hAnsi="Arial" w:cs="Arial"/>
            <w:sz w:val="20"/>
            <w:szCs w:val="20"/>
          </w:rPr>
          <w:t>u</w:t>
        </w:r>
        <w:r w:rsidR="008D3917" w:rsidRPr="008D3917">
          <w:rPr>
            <w:rStyle w:val="Hyperlink"/>
            <w:rFonts w:ascii="Arial" w:hAnsi="Arial" w:cs="Arial"/>
            <w:sz w:val="20"/>
            <w:szCs w:val="20"/>
          </w:rPr>
          <w:t>re website</w:t>
        </w:r>
      </w:hyperlink>
      <w:r w:rsidR="008D3917">
        <w:rPr>
          <w:rFonts w:ascii="Arial" w:hAnsi="Arial" w:cs="Arial"/>
          <w:sz w:val="20"/>
          <w:szCs w:val="20"/>
        </w:rPr>
        <w:t>.</w:t>
      </w:r>
    </w:p>
    <w:p w:rsidR="000D4888" w:rsidRPr="009B69C4" w:rsidRDefault="000D4888" w:rsidP="000D4888">
      <w:pPr>
        <w:ind w:left="720"/>
        <w:jc w:val="both"/>
        <w:rPr>
          <w:rFonts w:ascii="Arial" w:hAnsi="Arial" w:cs="Arial"/>
          <w:sz w:val="20"/>
          <w:szCs w:val="20"/>
        </w:rPr>
      </w:pPr>
    </w:p>
    <w:p w:rsidR="00372894" w:rsidRPr="009B69C4" w:rsidRDefault="00886658" w:rsidP="000F1C1B">
      <w:pPr>
        <w:jc w:val="both"/>
        <w:rPr>
          <w:rFonts w:ascii="Arial" w:hAnsi="Arial"/>
          <w:sz w:val="20"/>
        </w:rPr>
      </w:pPr>
      <w:r w:rsidRPr="009B69C4">
        <w:rPr>
          <w:rFonts w:ascii="Arial" w:hAnsi="Arial"/>
          <w:sz w:val="20"/>
        </w:rPr>
        <w:t>13.</w:t>
      </w:r>
      <w:r w:rsidRPr="009B69C4">
        <w:rPr>
          <w:rFonts w:ascii="Arial" w:hAnsi="Arial"/>
          <w:sz w:val="20"/>
        </w:rPr>
        <w:tab/>
      </w:r>
      <w:r w:rsidR="00372894" w:rsidRPr="009B69C4">
        <w:rPr>
          <w:rFonts w:ascii="Arial" w:hAnsi="Arial"/>
          <w:sz w:val="20"/>
          <w:u w:val="single"/>
        </w:rPr>
        <w:t>Declaration of Interests</w:t>
      </w:r>
    </w:p>
    <w:p w:rsidR="00372894" w:rsidRPr="009B69C4" w:rsidRDefault="00372894" w:rsidP="000F1C1B">
      <w:pPr>
        <w:jc w:val="both"/>
        <w:rPr>
          <w:rFonts w:ascii="Arial" w:hAnsi="Arial"/>
          <w:sz w:val="20"/>
        </w:rPr>
      </w:pPr>
    </w:p>
    <w:p w:rsidR="00372894" w:rsidRPr="009B69C4" w:rsidRDefault="00372894" w:rsidP="000C227F">
      <w:pPr>
        <w:ind w:left="720"/>
        <w:rPr>
          <w:rFonts w:ascii="Arial" w:hAnsi="Arial"/>
          <w:sz w:val="20"/>
        </w:rPr>
      </w:pPr>
      <w:r w:rsidRPr="009B69C4">
        <w:rPr>
          <w:rFonts w:ascii="Arial" w:hAnsi="Arial"/>
          <w:sz w:val="20"/>
        </w:rPr>
        <w:t xml:space="preserve">Members of staff are required to declare any professional, commercial, academic, or other interests that may conflict with the interests of the University.  In addition, matters which might be seen by reasonable members of the public to influence or bias judgement, when discussing or reaching decisions, should also be declared.  </w:t>
      </w:r>
      <w:hyperlink r:id="rId16" w:history="1">
        <w:r w:rsidR="008D3917" w:rsidRPr="008D3917">
          <w:rPr>
            <w:rStyle w:val="Hyperlink"/>
            <w:rFonts w:ascii="Arial" w:hAnsi="Arial"/>
            <w:sz w:val="20"/>
          </w:rPr>
          <w:t>Click he</w:t>
        </w:r>
        <w:r w:rsidR="008D3917" w:rsidRPr="008D3917">
          <w:rPr>
            <w:rStyle w:val="Hyperlink"/>
            <w:rFonts w:ascii="Arial" w:hAnsi="Arial"/>
            <w:sz w:val="20"/>
          </w:rPr>
          <w:t>r</w:t>
        </w:r>
        <w:r w:rsidR="008D3917" w:rsidRPr="008D3917">
          <w:rPr>
            <w:rStyle w:val="Hyperlink"/>
            <w:rFonts w:ascii="Arial" w:hAnsi="Arial"/>
            <w:sz w:val="20"/>
          </w:rPr>
          <w:t>e</w:t>
        </w:r>
        <w:r w:rsidR="008D3917" w:rsidRPr="008D3917">
          <w:rPr>
            <w:rStyle w:val="Hyperlink"/>
            <w:rFonts w:ascii="Arial" w:hAnsi="Arial"/>
            <w:sz w:val="20"/>
          </w:rPr>
          <w:t xml:space="preserve"> </w:t>
        </w:r>
        <w:r w:rsidR="008D3917" w:rsidRPr="008D3917">
          <w:rPr>
            <w:rStyle w:val="Hyperlink"/>
            <w:rFonts w:ascii="Arial" w:hAnsi="Arial"/>
            <w:sz w:val="20"/>
          </w:rPr>
          <w:t>fo</w:t>
        </w:r>
        <w:r w:rsidR="008D3917" w:rsidRPr="008D3917">
          <w:rPr>
            <w:rStyle w:val="Hyperlink"/>
            <w:rFonts w:ascii="Arial" w:hAnsi="Arial"/>
            <w:sz w:val="20"/>
          </w:rPr>
          <w:t>r</w:t>
        </w:r>
        <w:r w:rsidR="008D3917" w:rsidRPr="008D3917">
          <w:rPr>
            <w:rStyle w:val="Hyperlink"/>
            <w:rFonts w:ascii="Arial" w:hAnsi="Arial"/>
            <w:sz w:val="20"/>
          </w:rPr>
          <w:t xml:space="preserve"> further information</w:t>
        </w:r>
      </w:hyperlink>
      <w:r w:rsidR="008D3917" w:rsidRPr="008D3917">
        <w:rPr>
          <w:rFonts w:ascii="Arial" w:hAnsi="Arial"/>
          <w:sz w:val="20"/>
        </w:rPr>
        <w:t>.</w:t>
      </w:r>
    </w:p>
    <w:p w:rsidR="00372894" w:rsidRDefault="00372894" w:rsidP="00372894">
      <w:pPr>
        <w:ind w:firstLine="720"/>
        <w:jc w:val="both"/>
        <w:rPr>
          <w:rFonts w:ascii="Arial" w:hAnsi="Arial"/>
          <w:sz w:val="20"/>
        </w:rPr>
      </w:pPr>
    </w:p>
    <w:p w:rsidR="00C85178" w:rsidRPr="009B69C4" w:rsidRDefault="00C85178" w:rsidP="00372894">
      <w:pPr>
        <w:ind w:firstLine="720"/>
        <w:jc w:val="both"/>
        <w:rPr>
          <w:rFonts w:ascii="Arial" w:hAnsi="Arial"/>
          <w:sz w:val="20"/>
        </w:rPr>
      </w:pPr>
      <w:r>
        <w:rPr>
          <w:rFonts w:ascii="Arial" w:hAnsi="Arial"/>
          <w:sz w:val="20"/>
        </w:rPr>
        <w:br w:type="page"/>
      </w:r>
    </w:p>
    <w:p w:rsidR="00886658" w:rsidRPr="009B69C4" w:rsidRDefault="00372894" w:rsidP="00372894">
      <w:pPr>
        <w:jc w:val="both"/>
        <w:rPr>
          <w:rFonts w:ascii="Arial" w:hAnsi="Arial"/>
          <w:sz w:val="20"/>
          <w:u w:val="single"/>
        </w:rPr>
      </w:pPr>
      <w:r w:rsidRPr="009B69C4">
        <w:rPr>
          <w:rFonts w:ascii="Arial" w:hAnsi="Arial"/>
          <w:sz w:val="20"/>
        </w:rPr>
        <w:lastRenderedPageBreak/>
        <w:t>14.</w:t>
      </w:r>
      <w:r w:rsidRPr="009B69C4">
        <w:rPr>
          <w:rFonts w:ascii="Arial" w:hAnsi="Arial"/>
          <w:sz w:val="20"/>
        </w:rPr>
        <w:tab/>
      </w:r>
      <w:r w:rsidR="00886658" w:rsidRPr="009B69C4">
        <w:rPr>
          <w:rFonts w:ascii="Arial" w:hAnsi="Arial"/>
          <w:sz w:val="20"/>
          <w:u w:val="single"/>
        </w:rPr>
        <w:t>Termination of Employment</w:t>
      </w:r>
    </w:p>
    <w:p w:rsidR="00886658" w:rsidRPr="009B69C4" w:rsidRDefault="00886658" w:rsidP="00886658">
      <w:pPr>
        <w:jc w:val="both"/>
        <w:rPr>
          <w:rFonts w:ascii="Arial" w:hAnsi="Arial"/>
          <w:sz w:val="20"/>
          <w:u w:val="single"/>
        </w:rPr>
      </w:pPr>
    </w:p>
    <w:p w:rsidR="000D4888" w:rsidRPr="009B69C4" w:rsidRDefault="002535BF" w:rsidP="00755B45">
      <w:pPr>
        <w:ind w:left="737"/>
        <w:rPr>
          <w:rFonts w:ascii="Arial" w:hAnsi="Arial"/>
          <w:sz w:val="20"/>
        </w:rPr>
      </w:pPr>
      <w:r w:rsidRPr="009B69C4">
        <w:rPr>
          <w:rFonts w:ascii="Arial" w:hAnsi="Arial"/>
          <w:sz w:val="20"/>
        </w:rPr>
        <w:t>Notice of termination of employment for Academic and Related staff is three month</w:t>
      </w:r>
      <w:r w:rsidR="00190E12" w:rsidRPr="009B69C4">
        <w:rPr>
          <w:rFonts w:ascii="Arial" w:hAnsi="Arial"/>
          <w:sz w:val="20"/>
        </w:rPr>
        <w:t>s and for other staff is depende</w:t>
      </w:r>
      <w:r w:rsidRPr="009B69C4">
        <w:rPr>
          <w:rFonts w:ascii="Arial" w:hAnsi="Arial"/>
          <w:sz w:val="20"/>
        </w:rPr>
        <w:t xml:space="preserve">nt on length of continuous service.  </w:t>
      </w:r>
    </w:p>
    <w:p w:rsidR="00B76AB2" w:rsidRPr="009B69C4" w:rsidRDefault="00B76AB2" w:rsidP="000D4888">
      <w:pPr>
        <w:ind w:left="720"/>
        <w:rPr>
          <w:rFonts w:ascii="Arial" w:hAnsi="Arial"/>
          <w:sz w:val="20"/>
        </w:rPr>
      </w:pPr>
    </w:p>
    <w:p w:rsidR="008206C1" w:rsidRPr="009B69C4" w:rsidRDefault="002535BF" w:rsidP="00755B45">
      <w:pPr>
        <w:ind w:left="720"/>
        <w:rPr>
          <w:rFonts w:ascii="Arial" w:hAnsi="Arial" w:cs="Arial"/>
          <w:sz w:val="20"/>
          <w:szCs w:val="20"/>
        </w:rPr>
      </w:pPr>
      <w:r w:rsidRPr="009B69C4">
        <w:rPr>
          <w:rFonts w:ascii="Arial" w:hAnsi="Arial"/>
          <w:sz w:val="20"/>
        </w:rPr>
        <w:t xml:space="preserve">Specific details on notice periods to be given to and from staff are available </w:t>
      </w:r>
      <w:r w:rsidR="008206C1" w:rsidRPr="009B69C4">
        <w:rPr>
          <w:rFonts w:ascii="Arial" w:hAnsi="Arial"/>
          <w:sz w:val="20"/>
        </w:rPr>
        <w:t>from</w:t>
      </w:r>
      <w:r w:rsidR="008D3917">
        <w:rPr>
          <w:rFonts w:ascii="Arial" w:hAnsi="Arial"/>
          <w:sz w:val="20"/>
        </w:rPr>
        <w:t xml:space="preserve"> People and Culture or via </w:t>
      </w:r>
      <w:r w:rsidR="008206C1" w:rsidRPr="009B69C4">
        <w:rPr>
          <w:rFonts w:ascii="Arial" w:hAnsi="Arial" w:cs="Arial"/>
          <w:sz w:val="20"/>
          <w:szCs w:val="20"/>
        </w:rPr>
        <w:t xml:space="preserve">the </w:t>
      </w:r>
      <w:hyperlink r:id="rId17" w:history="1">
        <w:r w:rsidR="008D3917" w:rsidRPr="008D3917">
          <w:rPr>
            <w:rStyle w:val="Hyperlink"/>
            <w:rFonts w:ascii="Arial" w:hAnsi="Arial" w:cs="Arial"/>
            <w:sz w:val="20"/>
            <w:szCs w:val="20"/>
          </w:rPr>
          <w:t>People and Cult</w:t>
        </w:r>
        <w:r w:rsidR="008D3917" w:rsidRPr="008D3917">
          <w:rPr>
            <w:rStyle w:val="Hyperlink"/>
            <w:rFonts w:ascii="Arial" w:hAnsi="Arial" w:cs="Arial"/>
            <w:sz w:val="20"/>
            <w:szCs w:val="20"/>
          </w:rPr>
          <w:t>u</w:t>
        </w:r>
        <w:r w:rsidR="008D3917" w:rsidRPr="008D3917">
          <w:rPr>
            <w:rStyle w:val="Hyperlink"/>
            <w:rFonts w:ascii="Arial" w:hAnsi="Arial" w:cs="Arial"/>
            <w:sz w:val="20"/>
            <w:szCs w:val="20"/>
          </w:rPr>
          <w:t>re website</w:t>
        </w:r>
      </w:hyperlink>
      <w:r w:rsidR="008D3917">
        <w:rPr>
          <w:rFonts w:ascii="Arial" w:hAnsi="Arial" w:cs="Arial"/>
          <w:sz w:val="20"/>
          <w:szCs w:val="20"/>
        </w:rPr>
        <w:t>.</w:t>
      </w:r>
      <w:r w:rsidR="008206C1" w:rsidRPr="009B69C4">
        <w:rPr>
          <w:rFonts w:ascii="Arial" w:hAnsi="Arial" w:cs="Arial"/>
          <w:sz w:val="20"/>
          <w:szCs w:val="20"/>
        </w:rPr>
        <w:t xml:space="preserve"> </w:t>
      </w:r>
    </w:p>
    <w:p w:rsidR="00AD32ED" w:rsidRPr="009B69C4" w:rsidRDefault="00AD32ED" w:rsidP="00755B45">
      <w:pPr>
        <w:ind w:left="720"/>
        <w:jc w:val="both"/>
        <w:rPr>
          <w:rFonts w:ascii="Arial" w:hAnsi="Arial"/>
          <w:sz w:val="20"/>
          <w:szCs w:val="20"/>
        </w:rPr>
      </w:pPr>
    </w:p>
    <w:p w:rsidR="0086653C" w:rsidRPr="009B69C4" w:rsidRDefault="0086653C" w:rsidP="00755B45">
      <w:pPr>
        <w:ind w:left="720"/>
        <w:rPr>
          <w:rFonts w:ascii="Arial" w:hAnsi="Arial" w:cs="Arial"/>
          <w:sz w:val="20"/>
          <w:szCs w:val="20"/>
        </w:rPr>
      </w:pPr>
      <w:r w:rsidRPr="009B69C4">
        <w:rPr>
          <w:rFonts w:ascii="Arial" w:hAnsi="Arial" w:cs="Arial"/>
          <w:sz w:val="20"/>
          <w:szCs w:val="20"/>
        </w:rPr>
        <w:t>Staff wishing to retire must do so in accordance with t</w:t>
      </w:r>
      <w:r w:rsidR="00755B45" w:rsidRPr="009B69C4">
        <w:rPr>
          <w:rFonts w:ascii="Arial" w:hAnsi="Arial" w:cs="Arial"/>
          <w:sz w:val="20"/>
          <w:szCs w:val="20"/>
        </w:rPr>
        <w:t xml:space="preserve">heir normal contractual notice </w:t>
      </w:r>
      <w:r w:rsidRPr="009B69C4">
        <w:rPr>
          <w:rFonts w:ascii="Arial" w:hAnsi="Arial" w:cs="Arial"/>
          <w:sz w:val="20"/>
          <w:szCs w:val="20"/>
        </w:rPr>
        <w:t>requirement.</w:t>
      </w:r>
    </w:p>
    <w:p w:rsidR="0086653C" w:rsidRPr="009B69C4" w:rsidRDefault="0086653C" w:rsidP="00AD32ED">
      <w:pPr>
        <w:ind w:left="720"/>
        <w:jc w:val="both"/>
        <w:rPr>
          <w:rFonts w:ascii="Arial" w:hAnsi="Arial"/>
          <w:sz w:val="20"/>
          <w:szCs w:val="20"/>
        </w:rPr>
      </w:pPr>
      <w:r w:rsidRPr="009B69C4">
        <w:rPr>
          <w:rFonts w:ascii="Arial" w:hAnsi="Arial"/>
          <w:sz w:val="20"/>
          <w:szCs w:val="20"/>
        </w:rPr>
        <w:tab/>
      </w:r>
    </w:p>
    <w:p w:rsidR="002535BF" w:rsidRPr="009B69C4" w:rsidRDefault="002535BF" w:rsidP="00DF3267">
      <w:pPr>
        <w:rPr>
          <w:rFonts w:ascii="Arial" w:hAnsi="Arial"/>
          <w:sz w:val="20"/>
        </w:rPr>
      </w:pPr>
      <w:r w:rsidRPr="009B69C4">
        <w:rPr>
          <w:rFonts w:ascii="Arial" w:hAnsi="Arial"/>
          <w:sz w:val="20"/>
        </w:rPr>
        <w:tab/>
        <w:t xml:space="preserve">Employment may be terminated summarily on behalf of the Vice-Chancellor by the </w:t>
      </w:r>
      <w:r w:rsidRPr="009B69C4">
        <w:rPr>
          <w:rFonts w:ascii="Arial" w:hAnsi="Arial"/>
          <w:sz w:val="20"/>
        </w:rPr>
        <w:tab/>
      </w:r>
      <w:r w:rsidR="008D6828">
        <w:rPr>
          <w:rFonts w:ascii="Arial" w:hAnsi="Arial"/>
          <w:sz w:val="20"/>
        </w:rPr>
        <w:t xml:space="preserve">People and Culture </w:t>
      </w:r>
      <w:r w:rsidRPr="009B69C4">
        <w:rPr>
          <w:rFonts w:ascii="Arial" w:hAnsi="Arial"/>
          <w:sz w:val="20"/>
        </w:rPr>
        <w:t>Director in the event of gross misconduct.</w:t>
      </w:r>
    </w:p>
    <w:p w:rsidR="00423D3D" w:rsidRPr="009B69C4" w:rsidRDefault="00423D3D" w:rsidP="00886658">
      <w:pPr>
        <w:jc w:val="both"/>
        <w:rPr>
          <w:rFonts w:ascii="Arial" w:hAnsi="Arial"/>
          <w:sz w:val="20"/>
        </w:rPr>
      </w:pPr>
    </w:p>
    <w:p w:rsidR="00A41D1C" w:rsidRPr="009B69C4" w:rsidRDefault="00A41D1C" w:rsidP="00886658">
      <w:pPr>
        <w:jc w:val="both"/>
        <w:rPr>
          <w:rFonts w:ascii="Arial" w:hAnsi="Arial"/>
          <w:sz w:val="20"/>
        </w:rPr>
      </w:pPr>
      <w:r w:rsidRPr="009B69C4">
        <w:rPr>
          <w:rFonts w:ascii="Arial" w:hAnsi="Arial"/>
          <w:sz w:val="20"/>
        </w:rPr>
        <w:t>1</w:t>
      </w:r>
      <w:r w:rsidR="00372894" w:rsidRPr="009B69C4">
        <w:rPr>
          <w:rFonts w:ascii="Arial" w:hAnsi="Arial"/>
          <w:sz w:val="20"/>
        </w:rPr>
        <w:t>5</w:t>
      </w:r>
      <w:r w:rsidRPr="009B69C4">
        <w:rPr>
          <w:rFonts w:ascii="Arial" w:hAnsi="Arial"/>
          <w:sz w:val="20"/>
        </w:rPr>
        <w:t>.</w:t>
      </w:r>
      <w:r w:rsidRPr="009B69C4">
        <w:rPr>
          <w:rFonts w:ascii="Arial" w:hAnsi="Arial"/>
          <w:sz w:val="20"/>
        </w:rPr>
        <w:tab/>
      </w:r>
      <w:r w:rsidRPr="009B69C4">
        <w:rPr>
          <w:rFonts w:ascii="Arial" w:hAnsi="Arial"/>
          <w:sz w:val="20"/>
          <w:u w:val="single"/>
        </w:rPr>
        <w:t>Disclosure of Criminal Convictions</w:t>
      </w:r>
    </w:p>
    <w:p w:rsidR="00A41D1C" w:rsidRPr="009B69C4" w:rsidRDefault="00A41D1C" w:rsidP="00DF3267">
      <w:pPr>
        <w:rPr>
          <w:rFonts w:ascii="Arial" w:hAnsi="Arial"/>
          <w:sz w:val="20"/>
        </w:rPr>
      </w:pPr>
    </w:p>
    <w:p w:rsidR="00A41D1C" w:rsidRPr="009B69C4" w:rsidRDefault="00DD5CD1" w:rsidP="00DF3267">
      <w:pPr>
        <w:ind w:left="720"/>
        <w:rPr>
          <w:rFonts w:ascii="Arial" w:hAnsi="Arial"/>
          <w:sz w:val="20"/>
        </w:rPr>
      </w:pPr>
      <w:r w:rsidRPr="009B69C4">
        <w:rPr>
          <w:rFonts w:ascii="Arial" w:hAnsi="Arial"/>
          <w:sz w:val="20"/>
        </w:rPr>
        <w:t>All staff</w:t>
      </w:r>
      <w:r w:rsidR="00A41D1C" w:rsidRPr="009B69C4">
        <w:rPr>
          <w:rFonts w:ascii="Arial" w:hAnsi="Arial"/>
          <w:sz w:val="20"/>
        </w:rPr>
        <w:t xml:space="preserve"> </w:t>
      </w:r>
      <w:r w:rsidR="00F54484" w:rsidRPr="009B69C4">
        <w:rPr>
          <w:rFonts w:ascii="Arial" w:hAnsi="Arial"/>
          <w:sz w:val="20"/>
        </w:rPr>
        <w:t xml:space="preserve">are </w:t>
      </w:r>
      <w:r w:rsidR="00A41D1C" w:rsidRPr="009B69C4">
        <w:rPr>
          <w:rFonts w:ascii="Arial" w:hAnsi="Arial"/>
          <w:sz w:val="20"/>
        </w:rPr>
        <w:t xml:space="preserve">required to advise the </w:t>
      </w:r>
      <w:r w:rsidR="00080EB2">
        <w:rPr>
          <w:rFonts w:ascii="Arial" w:hAnsi="Arial"/>
          <w:sz w:val="20"/>
        </w:rPr>
        <w:t>Head of HR Business Partnering</w:t>
      </w:r>
      <w:r w:rsidR="00A41D1C" w:rsidRPr="009B69C4">
        <w:rPr>
          <w:rFonts w:ascii="Arial" w:hAnsi="Arial"/>
          <w:sz w:val="20"/>
        </w:rPr>
        <w:t xml:space="preserve"> in writing should there be any change to the conviction information declared on </w:t>
      </w:r>
      <w:r w:rsidRPr="009B69C4">
        <w:rPr>
          <w:rFonts w:ascii="Arial" w:hAnsi="Arial"/>
          <w:sz w:val="20"/>
        </w:rPr>
        <w:t>their</w:t>
      </w:r>
      <w:r w:rsidR="00A41D1C" w:rsidRPr="009B69C4">
        <w:rPr>
          <w:rFonts w:ascii="Arial" w:hAnsi="Arial"/>
          <w:sz w:val="20"/>
        </w:rPr>
        <w:t xml:space="preserve"> application form.</w:t>
      </w:r>
    </w:p>
    <w:p w:rsidR="002535BF" w:rsidRDefault="002535BF" w:rsidP="00886658">
      <w:pPr>
        <w:jc w:val="both"/>
        <w:rPr>
          <w:rFonts w:ascii="Arial" w:hAnsi="Arial"/>
          <w:sz w:val="20"/>
        </w:rPr>
      </w:pPr>
    </w:p>
    <w:p w:rsidR="00C85178" w:rsidRPr="009B69C4" w:rsidRDefault="00C85178" w:rsidP="00886658">
      <w:pPr>
        <w:jc w:val="both"/>
        <w:rPr>
          <w:rFonts w:ascii="Arial" w:hAnsi="Arial"/>
          <w:sz w:val="20"/>
        </w:rPr>
      </w:pPr>
    </w:p>
    <w:p w:rsidR="00886658" w:rsidRPr="009B69C4" w:rsidRDefault="00886658" w:rsidP="00886658">
      <w:pPr>
        <w:jc w:val="both"/>
        <w:rPr>
          <w:rFonts w:ascii="Arial" w:hAnsi="Arial"/>
          <w:sz w:val="20"/>
        </w:rPr>
      </w:pPr>
      <w:r w:rsidRPr="009B69C4">
        <w:rPr>
          <w:rFonts w:ascii="Arial" w:hAnsi="Arial"/>
          <w:sz w:val="20"/>
        </w:rPr>
        <w:t>1</w:t>
      </w:r>
      <w:r w:rsidR="00372894" w:rsidRPr="009B69C4">
        <w:rPr>
          <w:rFonts w:ascii="Arial" w:hAnsi="Arial"/>
          <w:sz w:val="20"/>
        </w:rPr>
        <w:t>6</w:t>
      </w:r>
      <w:r w:rsidRPr="009B69C4">
        <w:rPr>
          <w:rFonts w:ascii="Arial" w:hAnsi="Arial"/>
          <w:sz w:val="20"/>
        </w:rPr>
        <w:t>.</w:t>
      </w:r>
      <w:r w:rsidRPr="009B69C4">
        <w:rPr>
          <w:rFonts w:ascii="Arial" w:hAnsi="Arial"/>
          <w:sz w:val="20"/>
        </w:rPr>
        <w:tab/>
      </w:r>
      <w:r w:rsidRPr="009B69C4">
        <w:rPr>
          <w:rFonts w:ascii="Arial" w:hAnsi="Arial"/>
          <w:sz w:val="20"/>
          <w:u w:val="single"/>
        </w:rPr>
        <w:t>Other Information</w:t>
      </w:r>
    </w:p>
    <w:p w:rsidR="00886658" w:rsidRPr="009B69C4" w:rsidRDefault="00886658" w:rsidP="00886658">
      <w:pPr>
        <w:jc w:val="both"/>
        <w:rPr>
          <w:rFonts w:ascii="Arial" w:hAnsi="Arial"/>
          <w:sz w:val="20"/>
        </w:rPr>
      </w:pPr>
    </w:p>
    <w:p w:rsidR="00886658" w:rsidRPr="009B69C4" w:rsidRDefault="00886658" w:rsidP="00DF3267">
      <w:pPr>
        <w:numPr>
          <w:ilvl w:val="0"/>
          <w:numId w:val="5"/>
        </w:numPr>
        <w:rPr>
          <w:rFonts w:ascii="Arial" w:hAnsi="Arial" w:cs="Arial"/>
          <w:sz w:val="20"/>
          <w:szCs w:val="20"/>
        </w:rPr>
      </w:pPr>
      <w:r w:rsidRPr="009B69C4">
        <w:rPr>
          <w:rFonts w:ascii="Arial" w:hAnsi="Arial"/>
          <w:sz w:val="20"/>
        </w:rPr>
        <w:t xml:space="preserve">As a member of staff of the University, you will be expected to abide by the provisions of the Charter, Statutes, Regulations and </w:t>
      </w:r>
      <w:r w:rsidR="00715B63" w:rsidRPr="009B69C4">
        <w:rPr>
          <w:rFonts w:ascii="Arial" w:hAnsi="Arial"/>
          <w:sz w:val="20"/>
        </w:rPr>
        <w:t>Code of Conduct</w:t>
      </w:r>
      <w:r w:rsidRPr="009B69C4">
        <w:rPr>
          <w:rFonts w:ascii="Arial" w:hAnsi="Arial"/>
          <w:sz w:val="20"/>
        </w:rPr>
        <w:t xml:space="preserve"> </w:t>
      </w:r>
      <w:r w:rsidR="00C52E6A" w:rsidRPr="009B69C4">
        <w:rPr>
          <w:rFonts w:ascii="Arial" w:hAnsi="Arial"/>
          <w:sz w:val="20"/>
        </w:rPr>
        <w:t xml:space="preserve">and all policies </w:t>
      </w:r>
      <w:r w:rsidRPr="009B69C4">
        <w:rPr>
          <w:rFonts w:ascii="Arial" w:hAnsi="Arial"/>
          <w:sz w:val="20"/>
        </w:rPr>
        <w:t xml:space="preserve">of the University, details of which </w:t>
      </w:r>
      <w:r w:rsidR="00715B63" w:rsidRPr="009B69C4">
        <w:rPr>
          <w:rFonts w:ascii="Arial" w:hAnsi="Arial"/>
          <w:sz w:val="20"/>
        </w:rPr>
        <w:t xml:space="preserve">are available </w:t>
      </w:r>
      <w:r w:rsidR="0036599D" w:rsidRPr="009B69C4">
        <w:rPr>
          <w:rFonts w:ascii="Arial" w:hAnsi="Arial" w:cs="Arial"/>
          <w:sz w:val="20"/>
          <w:szCs w:val="20"/>
        </w:rPr>
        <w:t xml:space="preserve">via the </w:t>
      </w:r>
      <w:hyperlink r:id="rId18" w:history="1">
        <w:r w:rsidR="008D3917" w:rsidRPr="004049A4">
          <w:rPr>
            <w:rStyle w:val="Hyperlink"/>
            <w:rFonts w:ascii="Arial" w:hAnsi="Arial" w:cs="Arial"/>
            <w:sz w:val="20"/>
            <w:szCs w:val="20"/>
          </w:rPr>
          <w:t>People an</w:t>
        </w:r>
        <w:r w:rsidR="008D3917" w:rsidRPr="004049A4">
          <w:rPr>
            <w:rStyle w:val="Hyperlink"/>
            <w:rFonts w:ascii="Arial" w:hAnsi="Arial" w:cs="Arial"/>
            <w:sz w:val="20"/>
            <w:szCs w:val="20"/>
          </w:rPr>
          <w:t>d</w:t>
        </w:r>
        <w:r w:rsidR="008D3917" w:rsidRPr="004049A4">
          <w:rPr>
            <w:rStyle w:val="Hyperlink"/>
            <w:rFonts w:ascii="Arial" w:hAnsi="Arial" w:cs="Arial"/>
            <w:sz w:val="20"/>
            <w:szCs w:val="20"/>
          </w:rPr>
          <w:t xml:space="preserve"> Culture website</w:t>
        </w:r>
      </w:hyperlink>
      <w:r w:rsidR="008D3917">
        <w:rPr>
          <w:rFonts w:ascii="Arial" w:hAnsi="Arial" w:cs="Arial"/>
          <w:sz w:val="20"/>
          <w:szCs w:val="20"/>
        </w:rPr>
        <w:t>.</w:t>
      </w:r>
    </w:p>
    <w:p w:rsidR="00361774" w:rsidRPr="009B69C4" w:rsidRDefault="00361774" w:rsidP="00A41D1C">
      <w:pPr>
        <w:jc w:val="both"/>
        <w:rPr>
          <w:rFonts w:ascii="Arial" w:hAnsi="Arial" w:cs="Arial"/>
          <w:sz w:val="20"/>
          <w:szCs w:val="20"/>
        </w:rPr>
      </w:pPr>
    </w:p>
    <w:p w:rsidR="00A41D1C" w:rsidRPr="009B69C4" w:rsidRDefault="00886658" w:rsidP="00DF3267">
      <w:pPr>
        <w:numPr>
          <w:ilvl w:val="0"/>
          <w:numId w:val="5"/>
        </w:numPr>
        <w:rPr>
          <w:rFonts w:ascii="Arial" w:hAnsi="Arial" w:cs="Arial"/>
          <w:sz w:val="20"/>
          <w:szCs w:val="20"/>
        </w:rPr>
      </w:pPr>
      <w:r w:rsidRPr="009B69C4">
        <w:rPr>
          <w:rFonts w:ascii="Arial" w:hAnsi="Arial"/>
          <w:sz w:val="20"/>
          <w:szCs w:val="20"/>
        </w:rPr>
        <w:t xml:space="preserve">All staff are required to take part in the </w:t>
      </w:r>
      <w:r w:rsidR="0027176B">
        <w:rPr>
          <w:rFonts w:ascii="Arial" w:hAnsi="Arial"/>
          <w:sz w:val="20"/>
          <w:szCs w:val="20"/>
        </w:rPr>
        <w:t>Personal Development Review (PDR) process.  PDR forms and guidance notes are available from the People and Culture Directorate or via the</w:t>
      </w:r>
      <w:r w:rsidR="008206C1" w:rsidRPr="009B69C4">
        <w:rPr>
          <w:rFonts w:ascii="Arial" w:hAnsi="Arial" w:cs="Arial"/>
          <w:sz w:val="20"/>
          <w:szCs w:val="20"/>
        </w:rPr>
        <w:t xml:space="preserve"> </w:t>
      </w:r>
      <w:hyperlink r:id="rId19" w:history="1">
        <w:r w:rsidR="004049A4" w:rsidRPr="0027176B">
          <w:rPr>
            <w:rStyle w:val="Hyperlink"/>
            <w:rFonts w:ascii="Arial" w:hAnsi="Arial" w:cs="Arial"/>
            <w:sz w:val="20"/>
            <w:szCs w:val="20"/>
          </w:rPr>
          <w:t xml:space="preserve">People and </w:t>
        </w:r>
        <w:r w:rsidR="004049A4" w:rsidRPr="0027176B">
          <w:rPr>
            <w:rStyle w:val="Hyperlink"/>
            <w:rFonts w:ascii="Arial" w:hAnsi="Arial" w:cs="Arial"/>
            <w:sz w:val="20"/>
            <w:szCs w:val="20"/>
          </w:rPr>
          <w:t>C</w:t>
        </w:r>
        <w:r w:rsidR="004049A4" w:rsidRPr="0027176B">
          <w:rPr>
            <w:rStyle w:val="Hyperlink"/>
            <w:rFonts w:ascii="Arial" w:hAnsi="Arial" w:cs="Arial"/>
            <w:sz w:val="20"/>
            <w:szCs w:val="20"/>
          </w:rPr>
          <w:t>ulture website</w:t>
        </w:r>
      </w:hyperlink>
      <w:r w:rsidR="004049A4">
        <w:rPr>
          <w:rFonts w:ascii="Arial" w:hAnsi="Arial" w:cs="Arial"/>
          <w:sz w:val="20"/>
          <w:szCs w:val="20"/>
        </w:rPr>
        <w:t>.</w:t>
      </w:r>
    </w:p>
    <w:p w:rsidR="00A41D1C" w:rsidRPr="009B69C4" w:rsidRDefault="00A41D1C" w:rsidP="00A41D1C">
      <w:pPr>
        <w:pStyle w:val="ListParagraph"/>
        <w:rPr>
          <w:rFonts w:ascii="Arial" w:hAnsi="Arial" w:cs="Arial"/>
          <w:b/>
          <w:sz w:val="20"/>
          <w:szCs w:val="20"/>
        </w:rPr>
      </w:pPr>
    </w:p>
    <w:p w:rsidR="00381392" w:rsidRPr="009B69C4" w:rsidRDefault="00381392" w:rsidP="00A41D1C">
      <w:pPr>
        <w:jc w:val="both"/>
        <w:rPr>
          <w:rFonts w:ascii="Arial" w:hAnsi="Arial" w:cs="Arial"/>
          <w:b/>
          <w:sz w:val="20"/>
          <w:szCs w:val="20"/>
        </w:rPr>
      </w:pPr>
    </w:p>
    <w:p w:rsidR="0060673F" w:rsidRPr="009B69C4" w:rsidRDefault="00F96470" w:rsidP="00252B4D">
      <w:pPr>
        <w:jc w:val="right"/>
        <w:rPr>
          <w:rFonts w:ascii="Arial" w:hAnsi="Arial" w:cs="Arial"/>
          <w:sz w:val="20"/>
          <w:szCs w:val="20"/>
        </w:rPr>
      </w:pPr>
      <w:r>
        <w:rPr>
          <w:rFonts w:ascii="Arial" w:hAnsi="Arial" w:cs="Arial"/>
          <w:b/>
          <w:sz w:val="20"/>
          <w:szCs w:val="20"/>
        </w:rPr>
        <w:t xml:space="preserve">Date of Issue: </w:t>
      </w:r>
      <w:r w:rsidR="006B3215">
        <w:rPr>
          <w:rFonts w:ascii="Arial" w:hAnsi="Arial" w:cs="Arial"/>
          <w:b/>
          <w:sz w:val="20"/>
          <w:szCs w:val="20"/>
        </w:rPr>
        <w:t xml:space="preserve"> </w:t>
      </w:r>
      <w:r w:rsidR="00CB4CF7">
        <w:rPr>
          <w:rFonts w:ascii="Arial" w:hAnsi="Arial" w:cs="Arial"/>
          <w:b/>
          <w:sz w:val="20"/>
          <w:szCs w:val="20"/>
        </w:rPr>
        <w:fldChar w:fldCharType="begin"/>
      </w:r>
      <w:r w:rsidR="00CB4CF7">
        <w:rPr>
          <w:rFonts w:ascii="Arial" w:hAnsi="Arial" w:cs="Arial"/>
          <w:b/>
          <w:sz w:val="20"/>
          <w:szCs w:val="20"/>
        </w:rPr>
        <w:instrText xml:space="preserve"> DATE \@ "dd MMMM yyyy" </w:instrText>
      </w:r>
      <w:r w:rsidR="00CB4CF7">
        <w:rPr>
          <w:rFonts w:ascii="Arial" w:hAnsi="Arial" w:cs="Arial"/>
          <w:b/>
          <w:sz w:val="20"/>
          <w:szCs w:val="20"/>
        </w:rPr>
        <w:fldChar w:fldCharType="separate"/>
      </w:r>
      <w:r w:rsidR="00BD0AE1">
        <w:rPr>
          <w:rFonts w:ascii="Arial" w:hAnsi="Arial" w:cs="Arial"/>
          <w:b/>
          <w:noProof/>
          <w:sz w:val="20"/>
          <w:szCs w:val="20"/>
        </w:rPr>
        <w:t>06 April 2022</w:t>
      </w:r>
      <w:r w:rsidR="00CB4CF7">
        <w:rPr>
          <w:rFonts w:ascii="Arial" w:hAnsi="Arial" w:cs="Arial"/>
          <w:b/>
          <w:sz w:val="20"/>
          <w:szCs w:val="20"/>
        </w:rPr>
        <w:fldChar w:fldCharType="end"/>
      </w:r>
    </w:p>
    <w:sectPr w:rsidR="0060673F" w:rsidRPr="009B69C4" w:rsidSect="00BA0FE0">
      <w:footerReference w:type="even" r:id="rId20"/>
      <w:footerReference w:type="default" r:id="rId21"/>
      <w:footerReference w:type="first" r:id="rId22"/>
      <w:pgSz w:w="11906" w:h="16838" w:code="9"/>
      <w:pgMar w:top="1247" w:right="1418" w:bottom="1247" w:left="1418"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AE1" w:rsidRDefault="00BD0AE1">
      <w:r>
        <w:separator/>
      </w:r>
    </w:p>
  </w:endnote>
  <w:endnote w:type="continuationSeparator" w:id="0">
    <w:p w:rsidR="00BD0AE1" w:rsidRDefault="00B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E1" w:rsidRDefault="00BD0AE1" w:rsidP="004B7B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0AE1" w:rsidRDefault="00BD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E1" w:rsidRPr="00252B4D" w:rsidRDefault="00BD0AE1" w:rsidP="006058E8">
    <w:pPr>
      <w:jc w:val="right"/>
      <w:rPr>
        <w:rFonts w:ascii="Arial" w:hAnsi="Arial" w:cs="Arial"/>
        <w:sz w:val="20"/>
        <w:szCs w:val="20"/>
      </w:rPr>
    </w:pPr>
    <w:r w:rsidRPr="00252B4D">
      <w:rPr>
        <w:rFonts w:ascii="Arial" w:hAnsi="Arial" w:cs="Arial"/>
        <w:sz w:val="20"/>
        <w:szCs w:val="20"/>
      </w:rPr>
      <w:t xml:space="preserve">Page </w:t>
    </w:r>
    <w:r w:rsidRPr="00252B4D">
      <w:rPr>
        <w:rFonts w:ascii="Arial" w:hAnsi="Arial" w:cs="Arial"/>
        <w:sz w:val="20"/>
        <w:szCs w:val="20"/>
      </w:rPr>
      <w:fldChar w:fldCharType="begin"/>
    </w:r>
    <w:r w:rsidRPr="00252B4D">
      <w:rPr>
        <w:rFonts w:ascii="Arial" w:hAnsi="Arial" w:cs="Arial"/>
        <w:sz w:val="20"/>
        <w:szCs w:val="20"/>
      </w:rPr>
      <w:instrText xml:space="preserve"> PAGE </w:instrText>
    </w:r>
    <w:r w:rsidRPr="00252B4D">
      <w:rPr>
        <w:rFonts w:ascii="Arial" w:hAnsi="Arial" w:cs="Arial"/>
        <w:sz w:val="20"/>
        <w:szCs w:val="20"/>
      </w:rPr>
      <w:fldChar w:fldCharType="separate"/>
    </w:r>
    <w:r w:rsidR="00DE5A6F">
      <w:rPr>
        <w:rFonts w:ascii="Arial" w:hAnsi="Arial" w:cs="Arial"/>
        <w:noProof/>
        <w:sz w:val="20"/>
        <w:szCs w:val="20"/>
      </w:rPr>
      <w:t>5</w:t>
    </w:r>
    <w:r w:rsidRPr="00252B4D">
      <w:rPr>
        <w:rFonts w:ascii="Arial" w:hAnsi="Arial" w:cs="Arial"/>
        <w:sz w:val="20"/>
        <w:szCs w:val="20"/>
      </w:rPr>
      <w:fldChar w:fldCharType="end"/>
    </w:r>
    <w:r w:rsidRPr="00252B4D">
      <w:rPr>
        <w:rFonts w:ascii="Arial" w:hAnsi="Arial" w:cs="Arial"/>
        <w:sz w:val="20"/>
        <w:szCs w:val="20"/>
      </w:rPr>
      <w:t xml:space="preserve"> of </w:t>
    </w:r>
    <w:r w:rsidRPr="00252B4D">
      <w:rPr>
        <w:rFonts w:ascii="Arial" w:hAnsi="Arial" w:cs="Arial"/>
        <w:sz w:val="20"/>
        <w:szCs w:val="20"/>
      </w:rPr>
      <w:fldChar w:fldCharType="begin"/>
    </w:r>
    <w:r w:rsidRPr="00252B4D">
      <w:rPr>
        <w:rFonts w:ascii="Arial" w:hAnsi="Arial" w:cs="Arial"/>
        <w:sz w:val="20"/>
        <w:szCs w:val="20"/>
      </w:rPr>
      <w:instrText xml:space="preserve"> NUMPAGES  </w:instrText>
    </w:r>
    <w:r w:rsidRPr="00252B4D">
      <w:rPr>
        <w:rFonts w:ascii="Arial" w:hAnsi="Arial" w:cs="Arial"/>
        <w:sz w:val="20"/>
        <w:szCs w:val="20"/>
      </w:rPr>
      <w:fldChar w:fldCharType="separate"/>
    </w:r>
    <w:r w:rsidR="00DE5A6F">
      <w:rPr>
        <w:rFonts w:ascii="Arial" w:hAnsi="Arial" w:cs="Arial"/>
        <w:noProof/>
        <w:sz w:val="20"/>
        <w:szCs w:val="20"/>
      </w:rPr>
      <w:t>5</w:t>
    </w:r>
    <w:r w:rsidRPr="00252B4D">
      <w:rPr>
        <w:rFonts w:ascii="Arial" w:hAnsi="Arial" w:cs="Arial"/>
        <w:sz w:val="20"/>
        <w:szCs w:val="20"/>
      </w:rPr>
      <w:fldChar w:fldCharType="end"/>
    </w:r>
  </w:p>
  <w:p w:rsidR="00BD0AE1" w:rsidRPr="00252B4D" w:rsidRDefault="00BD0AE1" w:rsidP="00687FAC">
    <w:pPr>
      <w:pStyle w:val="Footer"/>
      <w:jc w:val="right"/>
      <w:rPr>
        <w:rFonts w:ascii="Arial" w:hAnsi="Arial" w:cs="Arial"/>
        <w:sz w:val="20"/>
        <w:szCs w:val="20"/>
        <w:lang w:val="en-GB"/>
      </w:rPr>
    </w:pPr>
    <w:r>
      <w:rPr>
        <w:rFonts w:ascii="Arial" w:hAnsi="Arial" w:cs="Arial"/>
        <w:sz w:val="20"/>
        <w:szCs w:val="20"/>
        <w:lang w:val="en-GB"/>
      </w:rPr>
      <w:t>December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AE1" w:rsidRPr="004022D6" w:rsidRDefault="00BD0AE1" w:rsidP="0078606B">
    <w:pPr>
      <w:jc w:val="right"/>
      <w:rPr>
        <w:rFonts w:ascii="Arial" w:hAnsi="Arial" w:cs="Arial"/>
        <w:sz w:val="20"/>
        <w:szCs w:val="20"/>
      </w:rPr>
    </w:pPr>
    <w:r w:rsidRPr="004022D6">
      <w:rPr>
        <w:rFonts w:ascii="Arial" w:hAnsi="Arial" w:cs="Arial"/>
        <w:sz w:val="20"/>
        <w:szCs w:val="20"/>
      </w:rPr>
      <w:t xml:space="preserve">Page </w:t>
    </w:r>
    <w:r w:rsidRPr="004022D6">
      <w:rPr>
        <w:rFonts w:ascii="Arial" w:hAnsi="Arial" w:cs="Arial"/>
        <w:sz w:val="20"/>
        <w:szCs w:val="20"/>
      </w:rPr>
      <w:fldChar w:fldCharType="begin"/>
    </w:r>
    <w:r w:rsidRPr="004022D6">
      <w:rPr>
        <w:rFonts w:ascii="Arial" w:hAnsi="Arial" w:cs="Arial"/>
        <w:sz w:val="20"/>
        <w:szCs w:val="20"/>
      </w:rPr>
      <w:instrText xml:space="preserve"> PAGE </w:instrText>
    </w:r>
    <w:r w:rsidRPr="004022D6">
      <w:rPr>
        <w:rFonts w:ascii="Arial" w:hAnsi="Arial" w:cs="Arial"/>
        <w:sz w:val="20"/>
        <w:szCs w:val="20"/>
      </w:rPr>
      <w:fldChar w:fldCharType="separate"/>
    </w:r>
    <w:r>
      <w:rPr>
        <w:rFonts w:ascii="Arial" w:hAnsi="Arial" w:cs="Arial"/>
        <w:noProof/>
        <w:sz w:val="20"/>
        <w:szCs w:val="20"/>
      </w:rPr>
      <w:t>1</w:t>
    </w:r>
    <w:r w:rsidRPr="004022D6">
      <w:rPr>
        <w:rFonts w:ascii="Arial" w:hAnsi="Arial" w:cs="Arial"/>
        <w:sz w:val="20"/>
        <w:szCs w:val="20"/>
      </w:rPr>
      <w:fldChar w:fldCharType="end"/>
    </w:r>
    <w:r w:rsidRPr="004022D6">
      <w:rPr>
        <w:rFonts w:ascii="Arial" w:hAnsi="Arial" w:cs="Arial"/>
        <w:sz w:val="20"/>
        <w:szCs w:val="20"/>
      </w:rPr>
      <w:t xml:space="preserve"> of </w:t>
    </w:r>
    <w:r>
      <w:rPr>
        <w:rFonts w:ascii="Arial" w:hAnsi="Arial" w:cs="Arial"/>
        <w:sz w:val="20"/>
        <w:szCs w:val="20"/>
      </w:rPr>
      <w:t>5</w:t>
    </w:r>
  </w:p>
  <w:p w:rsidR="00BD0AE1" w:rsidRPr="001F1975" w:rsidRDefault="00BD0AE1" w:rsidP="001F1975">
    <w:pPr>
      <w:pStyle w:val="Footer"/>
      <w:jc w:val="right"/>
      <w:rPr>
        <w:rFonts w:ascii="Arial" w:hAnsi="Arial" w:cs="Arial"/>
        <w:sz w:val="20"/>
        <w:szCs w:val="20"/>
        <w:lang w:val="en-GB"/>
      </w:rPr>
    </w:pPr>
    <w:r>
      <w:rPr>
        <w:rFonts w:ascii="Arial" w:hAnsi="Arial" w:cs="Arial"/>
        <w:sz w:val="20"/>
        <w:szCs w:val="20"/>
        <w:lang w:val="en-GB"/>
      </w:rPr>
      <w:t>8 January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AE1" w:rsidRDefault="00BD0AE1">
      <w:r>
        <w:separator/>
      </w:r>
    </w:p>
  </w:footnote>
  <w:footnote w:type="continuationSeparator" w:id="0">
    <w:p w:rsidR="00BD0AE1" w:rsidRDefault="00BD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D1160"/>
    <w:multiLevelType w:val="hybridMultilevel"/>
    <w:tmpl w:val="A8D471B8"/>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18064351"/>
    <w:multiLevelType w:val="hybridMultilevel"/>
    <w:tmpl w:val="C23E5666"/>
    <w:lvl w:ilvl="0" w:tplc="1F6248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DD4C06"/>
    <w:multiLevelType w:val="hybridMultilevel"/>
    <w:tmpl w:val="598A6A0E"/>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5BD11BC9"/>
    <w:multiLevelType w:val="hybridMultilevel"/>
    <w:tmpl w:val="57500B16"/>
    <w:lvl w:ilvl="0" w:tplc="1FB0E5E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6FCF1FE4"/>
    <w:multiLevelType w:val="hybridMultilevel"/>
    <w:tmpl w:val="6FAA423C"/>
    <w:lvl w:ilvl="0" w:tplc="0809000B">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7471658B"/>
    <w:multiLevelType w:val="hybridMultilevel"/>
    <w:tmpl w:val="2668B3E2"/>
    <w:lvl w:ilvl="0" w:tplc="EDEAEF18">
      <w:start w:val="1"/>
      <w:numFmt w:val="lowerRoman"/>
      <w:lvlText w:val="%1)"/>
      <w:lvlJc w:val="left"/>
      <w:pPr>
        <w:ind w:left="1440" w:hanging="720"/>
      </w:pPr>
      <w:rPr>
        <w:rFonts w:cs="Times New Roman"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7071A8D"/>
    <w:multiLevelType w:val="hybridMultilevel"/>
    <w:tmpl w:val="7B5047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58"/>
    <w:rsid w:val="000168D2"/>
    <w:rsid w:val="000178E9"/>
    <w:rsid w:val="000361DF"/>
    <w:rsid w:val="000460A8"/>
    <w:rsid w:val="00056E61"/>
    <w:rsid w:val="0006066A"/>
    <w:rsid w:val="00074B54"/>
    <w:rsid w:val="0007539F"/>
    <w:rsid w:val="000759E8"/>
    <w:rsid w:val="00076E2E"/>
    <w:rsid w:val="000771D4"/>
    <w:rsid w:val="00080EB2"/>
    <w:rsid w:val="00083DA0"/>
    <w:rsid w:val="00090037"/>
    <w:rsid w:val="000904E9"/>
    <w:rsid w:val="000B17F7"/>
    <w:rsid w:val="000B74F5"/>
    <w:rsid w:val="000C1033"/>
    <w:rsid w:val="000C227F"/>
    <w:rsid w:val="000C2307"/>
    <w:rsid w:val="000C28C5"/>
    <w:rsid w:val="000C4D16"/>
    <w:rsid w:val="000C7C38"/>
    <w:rsid w:val="000D4888"/>
    <w:rsid w:val="000F1C1B"/>
    <w:rsid w:val="00105009"/>
    <w:rsid w:val="001051A9"/>
    <w:rsid w:val="0010597C"/>
    <w:rsid w:val="00107D4D"/>
    <w:rsid w:val="00110B17"/>
    <w:rsid w:val="001222FA"/>
    <w:rsid w:val="0012692A"/>
    <w:rsid w:val="00126C69"/>
    <w:rsid w:val="001713F2"/>
    <w:rsid w:val="00171FAA"/>
    <w:rsid w:val="001803C8"/>
    <w:rsid w:val="001874DE"/>
    <w:rsid w:val="00190E12"/>
    <w:rsid w:val="001A64CF"/>
    <w:rsid w:val="001A68E8"/>
    <w:rsid w:val="001B6733"/>
    <w:rsid w:val="001C0EA2"/>
    <w:rsid w:val="001C55E9"/>
    <w:rsid w:val="001C5A42"/>
    <w:rsid w:val="001C79EB"/>
    <w:rsid w:val="001C7ED1"/>
    <w:rsid w:val="001D378A"/>
    <w:rsid w:val="001E09F2"/>
    <w:rsid w:val="001E3888"/>
    <w:rsid w:val="001F0C65"/>
    <w:rsid w:val="001F132D"/>
    <w:rsid w:val="001F1975"/>
    <w:rsid w:val="00210CC4"/>
    <w:rsid w:val="002162F8"/>
    <w:rsid w:val="002179E5"/>
    <w:rsid w:val="00226BE5"/>
    <w:rsid w:val="002377EE"/>
    <w:rsid w:val="00242EC9"/>
    <w:rsid w:val="002445E4"/>
    <w:rsid w:val="00252B4D"/>
    <w:rsid w:val="002535BF"/>
    <w:rsid w:val="002548C8"/>
    <w:rsid w:val="0026587F"/>
    <w:rsid w:val="0027176B"/>
    <w:rsid w:val="002867E8"/>
    <w:rsid w:val="002A1CA4"/>
    <w:rsid w:val="002B195A"/>
    <w:rsid w:val="002B21EE"/>
    <w:rsid w:val="002B3028"/>
    <w:rsid w:val="002B433C"/>
    <w:rsid w:val="002C2803"/>
    <w:rsid w:val="002C53C7"/>
    <w:rsid w:val="002D4B31"/>
    <w:rsid w:val="00302DAE"/>
    <w:rsid w:val="00307249"/>
    <w:rsid w:val="00310363"/>
    <w:rsid w:val="00322585"/>
    <w:rsid w:val="00327D0B"/>
    <w:rsid w:val="00330A15"/>
    <w:rsid w:val="003406C9"/>
    <w:rsid w:val="00360F2A"/>
    <w:rsid w:val="00361774"/>
    <w:rsid w:val="003628F0"/>
    <w:rsid w:val="0036599D"/>
    <w:rsid w:val="00372154"/>
    <w:rsid w:val="00372894"/>
    <w:rsid w:val="00381392"/>
    <w:rsid w:val="003831FD"/>
    <w:rsid w:val="00384D71"/>
    <w:rsid w:val="003979BB"/>
    <w:rsid w:val="003A3050"/>
    <w:rsid w:val="003B2B34"/>
    <w:rsid w:val="003B5F14"/>
    <w:rsid w:val="003C0754"/>
    <w:rsid w:val="003C12E7"/>
    <w:rsid w:val="003C190A"/>
    <w:rsid w:val="003C3507"/>
    <w:rsid w:val="003D38C2"/>
    <w:rsid w:val="003E29F6"/>
    <w:rsid w:val="003F5A83"/>
    <w:rsid w:val="00400356"/>
    <w:rsid w:val="004022D6"/>
    <w:rsid w:val="004049A4"/>
    <w:rsid w:val="00423D3D"/>
    <w:rsid w:val="00432E02"/>
    <w:rsid w:val="00432EA6"/>
    <w:rsid w:val="00435530"/>
    <w:rsid w:val="004406CE"/>
    <w:rsid w:val="004553C7"/>
    <w:rsid w:val="00460441"/>
    <w:rsid w:val="00463511"/>
    <w:rsid w:val="00463D92"/>
    <w:rsid w:val="00466CAD"/>
    <w:rsid w:val="004755E0"/>
    <w:rsid w:val="0047686A"/>
    <w:rsid w:val="00482605"/>
    <w:rsid w:val="0048450A"/>
    <w:rsid w:val="00486B9E"/>
    <w:rsid w:val="00493249"/>
    <w:rsid w:val="004938A9"/>
    <w:rsid w:val="00494BB0"/>
    <w:rsid w:val="004A23A8"/>
    <w:rsid w:val="004A2C73"/>
    <w:rsid w:val="004B7BFE"/>
    <w:rsid w:val="004D5F7F"/>
    <w:rsid w:val="004D7D34"/>
    <w:rsid w:val="004F5BFE"/>
    <w:rsid w:val="00500386"/>
    <w:rsid w:val="00510CA3"/>
    <w:rsid w:val="00512705"/>
    <w:rsid w:val="005210F1"/>
    <w:rsid w:val="00521D8E"/>
    <w:rsid w:val="0053566A"/>
    <w:rsid w:val="00554219"/>
    <w:rsid w:val="00557CE5"/>
    <w:rsid w:val="00575151"/>
    <w:rsid w:val="005756BA"/>
    <w:rsid w:val="005875CE"/>
    <w:rsid w:val="00593033"/>
    <w:rsid w:val="00593E4E"/>
    <w:rsid w:val="005961F5"/>
    <w:rsid w:val="005A48BF"/>
    <w:rsid w:val="005B481E"/>
    <w:rsid w:val="005C087B"/>
    <w:rsid w:val="005C507B"/>
    <w:rsid w:val="005D0ADB"/>
    <w:rsid w:val="005D2253"/>
    <w:rsid w:val="005D39FF"/>
    <w:rsid w:val="005D47B9"/>
    <w:rsid w:val="005D6C3C"/>
    <w:rsid w:val="005E4659"/>
    <w:rsid w:val="005F14C5"/>
    <w:rsid w:val="005F6216"/>
    <w:rsid w:val="0060454B"/>
    <w:rsid w:val="006058E8"/>
    <w:rsid w:val="0060673F"/>
    <w:rsid w:val="0061558F"/>
    <w:rsid w:val="0062397D"/>
    <w:rsid w:val="0063120D"/>
    <w:rsid w:val="00637B6A"/>
    <w:rsid w:val="006462F0"/>
    <w:rsid w:val="00650D01"/>
    <w:rsid w:val="0065264F"/>
    <w:rsid w:val="006600DC"/>
    <w:rsid w:val="00663709"/>
    <w:rsid w:val="00680610"/>
    <w:rsid w:val="00687FAC"/>
    <w:rsid w:val="00696B31"/>
    <w:rsid w:val="00697081"/>
    <w:rsid w:val="006A3E97"/>
    <w:rsid w:val="006A63B4"/>
    <w:rsid w:val="006B3215"/>
    <w:rsid w:val="006B3D77"/>
    <w:rsid w:val="006D10AB"/>
    <w:rsid w:val="006D47F7"/>
    <w:rsid w:val="006D6CFD"/>
    <w:rsid w:val="006E273A"/>
    <w:rsid w:val="006E7058"/>
    <w:rsid w:val="006E759D"/>
    <w:rsid w:val="006F415D"/>
    <w:rsid w:val="006F438D"/>
    <w:rsid w:val="006F45B8"/>
    <w:rsid w:val="00702B5B"/>
    <w:rsid w:val="007123BE"/>
    <w:rsid w:val="00715B63"/>
    <w:rsid w:val="00721D0C"/>
    <w:rsid w:val="00726CC6"/>
    <w:rsid w:val="00731EA4"/>
    <w:rsid w:val="00743E9F"/>
    <w:rsid w:val="00753A86"/>
    <w:rsid w:val="00755B45"/>
    <w:rsid w:val="007562D6"/>
    <w:rsid w:val="00762A74"/>
    <w:rsid w:val="00763952"/>
    <w:rsid w:val="0077415E"/>
    <w:rsid w:val="00774D2B"/>
    <w:rsid w:val="0078606B"/>
    <w:rsid w:val="00794460"/>
    <w:rsid w:val="007B1173"/>
    <w:rsid w:val="007B33E4"/>
    <w:rsid w:val="007B3D1F"/>
    <w:rsid w:val="007E2CF3"/>
    <w:rsid w:val="007E33D5"/>
    <w:rsid w:val="00803853"/>
    <w:rsid w:val="00817EC7"/>
    <w:rsid w:val="008206C1"/>
    <w:rsid w:val="008237D4"/>
    <w:rsid w:val="00825BCB"/>
    <w:rsid w:val="0083127B"/>
    <w:rsid w:val="00832088"/>
    <w:rsid w:val="008413DE"/>
    <w:rsid w:val="0086036B"/>
    <w:rsid w:val="0086231A"/>
    <w:rsid w:val="00863EF6"/>
    <w:rsid w:val="0086653C"/>
    <w:rsid w:val="008831BC"/>
    <w:rsid w:val="00884279"/>
    <w:rsid w:val="00886658"/>
    <w:rsid w:val="00896EBA"/>
    <w:rsid w:val="00897B99"/>
    <w:rsid w:val="008A5569"/>
    <w:rsid w:val="008A72CC"/>
    <w:rsid w:val="008B43DA"/>
    <w:rsid w:val="008D3917"/>
    <w:rsid w:val="008D3AD8"/>
    <w:rsid w:val="008D6257"/>
    <w:rsid w:val="008D6828"/>
    <w:rsid w:val="00900D92"/>
    <w:rsid w:val="0090248C"/>
    <w:rsid w:val="00903C7B"/>
    <w:rsid w:val="00917FF6"/>
    <w:rsid w:val="009200A0"/>
    <w:rsid w:val="00922C5F"/>
    <w:rsid w:val="009230B9"/>
    <w:rsid w:val="00931818"/>
    <w:rsid w:val="00942829"/>
    <w:rsid w:val="00965E30"/>
    <w:rsid w:val="00967465"/>
    <w:rsid w:val="00972DBD"/>
    <w:rsid w:val="00994032"/>
    <w:rsid w:val="00994AC4"/>
    <w:rsid w:val="009974F8"/>
    <w:rsid w:val="009A0F45"/>
    <w:rsid w:val="009A7551"/>
    <w:rsid w:val="009B6538"/>
    <w:rsid w:val="009B69C4"/>
    <w:rsid w:val="009B779A"/>
    <w:rsid w:val="009C25A1"/>
    <w:rsid w:val="009C4FBC"/>
    <w:rsid w:val="009D242B"/>
    <w:rsid w:val="009E769A"/>
    <w:rsid w:val="009F0511"/>
    <w:rsid w:val="00A130B3"/>
    <w:rsid w:val="00A14C3A"/>
    <w:rsid w:val="00A205F5"/>
    <w:rsid w:val="00A24B0A"/>
    <w:rsid w:val="00A2508E"/>
    <w:rsid w:val="00A30F9D"/>
    <w:rsid w:val="00A31274"/>
    <w:rsid w:val="00A41D1C"/>
    <w:rsid w:val="00A64A2C"/>
    <w:rsid w:val="00A66241"/>
    <w:rsid w:val="00A701AD"/>
    <w:rsid w:val="00A72738"/>
    <w:rsid w:val="00A7351B"/>
    <w:rsid w:val="00A76728"/>
    <w:rsid w:val="00A7678A"/>
    <w:rsid w:val="00A81EC9"/>
    <w:rsid w:val="00A83ADA"/>
    <w:rsid w:val="00A91971"/>
    <w:rsid w:val="00A96D1B"/>
    <w:rsid w:val="00A97E2C"/>
    <w:rsid w:val="00AC4CA9"/>
    <w:rsid w:val="00AD31D3"/>
    <w:rsid w:val="00AD32ED"/>
    <w:rsid w:val="00AD5C9C"/>
    <w:rsid w:val="00AE62BD"/>
    <w:rsid w:val="00B038CC"/>
    <w:rsid w:val="00B05F2F"/>
    <w:rsid w:val="00B1223B"/>
    <w:rsid w:val="00B12846"/>
    <w:rsid w:val="00B43F3D"/>
    <w:rsid w:val="00B43FEB"/>
    <w:rsid w:val="00B45B4F"/>
    <w:rsid w:val="00B5051F"/>
    <w:rsid w:val="00B50F04"/>
    <w:rsid w:val="00B556C6"/>
    <w:rsid w:val="00B6334A"/>
    <w:rsid w:val="00B64052"/>
    <w:rsid w:val="00B75F2F"/>
    <w:rsid w:val="00B76AB2"/>
    <w:rsid w:val="00B80E66"/>
    <w:rsid w:val="00B833A2"/>
    <w:rsid w:val="00B90CE5"/>
    <w:rsid w:val="00B95B0A"/>
    <w:rsid w:val="00B96A89"/>
    <w:rsid w:val="00BA0FE0"/>
    <w:rsid w:val="00BA337F"/>
    <w:rsid w:val="00BA5F69"/>
    <w:rsid w:val="00BC19AD"/>
    <w:rsid w:val="00BD0AE1"/>
    <w:rsid w:val="00BD2130"/>
    <w:rsid w:val="00BD6285"/>
    <w:rsid w:val="00BE20B0"/>
    <w:rsid w:val="00BF3F62"/>
    <w:rsid w:val="00C10810"/>
    <w:rsid w:val="00C126EE"/>
    <w:rsid w:val="00C22B1F"/>
    <w:rsid w:val="00C2672E"/>
    <w:rsid w:val="00C36F07"/>
    <w:rsid w:val="00C5218C"/>
    <w:rsid w:val="00C52992"/>
    <w:rsid w:val="00C52E6A"/>
    <w:rsid w:val="00C52F10"/>
    <w:rsid w:val="00C605E9"/>
    <w:rsid w:val="00C66403"/>
    <w:rsid w:val="00C677C6"/>
    <w:rsid w:val="00C725D2"/>
    <w:rsid w:val="00C7799A"/>
    <w:rsid w:val="00C85178"/>
    <w:rsid w:val="00C97716"/>
    <w:rsid w:val="00CA391E"/>
    <w:rsid w:val="00CA469E"/>
    <w:rsid w:val="00CA49E8"/>
    <w:rsid w:val="00CA73AD"/>
    <w:rsid w:val="00CB1119"/>
    <w:rsid w:val="00CB30B0"/>
    <w:rsid w:val="00CB4CF7"/>
    <w:rsid w:val="00CB7C70"/>
    <w:rsid w:val="00CD248E"/>
    <w:rsid w:val="00CE55AA"/>
    <w:rsid w:val="00CF3C81"/>
    <w:rsid w:val="00CF503F"/>
    <w:rsid w:val="00CF63C0"/>
    <w:rsid w:val="00D00513"/>
    <w:rsid w:val="00D01FF4"/>
    <w:rsid w:val="00D0203D"/>
    <w:rsid w:val="00D0455E"/>
    <w:rsid w:val="00D0489B"/>
    <w:rsid w:val="00D049F4"/>
    <w:rsid w:val="00D33A4A"/>
    <w:rsid w:val="00D36E30"/>
    <w:rsid w:val="00D37FB3"/>
    <w:rsid w:val="00D43A02"/>
    <w:rsid w:val="00D52DE4"/>
    <w:rsid w:val="00D54DE1"/>
    <w:rsid w:val="00D57444"/>
    <w:rsid w:val="00D57AB6"/>
    <w:rsid w:val="00D64C71"/>
    <w:rsid w:val="00D67EE9"/>
    <w:rsid w:val="00D7409D"/>
    <w:rsid w:val="00D83C98"/>
    <w:rsid w:val="00D859F1"/>
    <w:rsid w:val="00D86C86"/>
    <w:rsid w:val="00DA7020"/>
    <w:rsid w:val="00DC0130"/>
    <w:rsid w:val="00DC122B"/>
    <w:rsid w:val="00DC18B3"/>
    <w:rsid w:val="00DC3C14"/>
    <w:rsid w:val="00DC5F06"/>
    <w:rsid w:val="00DC7ACE"/>
    <w:rsid w:val="00DD5CD1"/>
    <w:rsid w:val="00DD7193"/>
    <w:rsid w:val="00DE5A6F"/>
    <w:rsid w:val="00DF1126"/>
    <w:rsid w:val="00DF3267"/>
    <w:rsid w:val="00DF4408"/>
    <w:rsid w:val="00E200A0"/>
    <w:rsid w:val="00E266F9"/>
    <w:rsid w:val="00E30E64"/>
    <w:rsid w:val="00E37322"/>
    <w:rsid w:val="00E5057A"/>
    <w:rsid w:val="00E50D10"/>
    <w:rsid w:val="00E6463D"/>
    <w:rsid w:val="00E673D3"/>
    <w:rsid w:val="00E8006C"/>
    <w:rsid w:val="00E80090"/>
    <w:rsid w:val="00EA18F9"/>
    <w:rsid w:val="00EA4377"/>
    <w:rsid w:val="00EA6C9F"/>
    <w:rsid w:val="00EB0693"/>
    <w:rsid w:val="00EB29FC"/>
    <w:rsid w:val="00EB560D"/>
    <w:rsid w:val="00EC68F4"/>
    <w:rsid w:val="00ED40DD"/>
    <w:rsid w:val="00ED7F52"/>
    <w:rsid w:val="00EE062C"/>
    <w:rsid w:val="00EE0DBA"/>
    <w:rsid w:val="00EE4368"/>
    <w:rsid w:val="00EF131B"/>
    <w:rsid w:val="00EF552F"/>
    <w:rsid w:val="00EF5FAE"/>
    <w:rsid w:val="00EF70B2"/>
    <w:rsid w:val="00F231F1"/>
    <w:rsid w:val="00F27C4D"/>
    <w:rsid w:val="00F51FB5"/>
    <w:rsid w:val="00F54484"/>
    <w:rsid w:val="00F60A79"/>
    <w:rsid w:val="00F6436E"/>
    <w:rsid w:val="00F82468"/>
    <w:rsid w:val="00F82728"/>
    <w:rsid w:val="00F95096"/>
    <w:rsid w:val="00F96470"/>
    <w:rsid w:val="00FA72DE"/>
    <w:rsid w:val="00FB46C3"/>
    <w:rsid w:val="00FB688B"/>
    <w:rsid w:val="00FC2F54"/>
    <w:rsid w:val="00FF32D8"/>
    <w:rsid w:val="00FF420D"/>
    <w:rsid w:val="00FF5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0706BA"/>
  <w15:chartTrackingRefBased/>
  <w15:docId w15:val="{3752AB46-182E-42B7-9792-C4849440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658"/>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86658"/>
    <w:pPr>
      <w:spacing w:before="100" w:beforeAutospacing="1" w:after="100" w:afterAutospacing="1"/>
    </w:pPr>
  </w:style>
  <w:style w:type="paragraph" w:styleId="Footer">
    <w:name w:val="footer"/>
    <w:basedOn w:val="Normal"/>
    <w:link w:val="FooterChar"/>
    <w:uiPriority w:val="99"/>
    <w:rsid w:val="00886658"/>
    <w:pPr>
      <w:tabs>
        <w:tab w:val="center" w:pos="4153"/>
        <w:tab w:val="right" w:pos="8306"/>
      </w:tabs>
    </w:pPr>
    <w:rPr>
      <w:lang w:val="x-none" w:eastAsia="x-none"/>
    </w:rPr>
  </w:style>
  <w:style w:type="character" w:styleId="PageNumber">
    <w:name w:val="page number"/>
    <w:basedOn w:val="DefaultParagraphFont"/>
    <w:rsid w:val="00886658"/>
  </w:style>
  <w:style w:type="paragraph" w:styleId="Header">
    <w:name w:val="header"/>
    <w:basedOn w:val="Normal"/>
    <w:rsid w:val="00687FAC"/>
    <w:pPr>
      <w:tabs>
        <w:tab w:val="center" w:pos="4153"/>
        <w:tab w:val="right" w:pos="8306"/>
      </w:tabs>
    </w:pPr>
  </w:style>
  <w:style w:type="paragraph" w:styleId="BalloonText">
    <w:name w:val="Balloon Text"/>
    <w:basedOn w:val="Normal"/>
    <w:semiHidden/>
    <w:rsid w:val="002535BF"/>
    <w:rPr>
      <w:rFonts w:ascii="Tahoma" w:hAnsi="Tahoma" w:cs="Tahoma"/>
      <w:sz w:val="16"/>
      <w:szCs w:val="16"/>
    </w:rPr>
  </w:style>
  <w:style w:type="character" w:styleId="Hyperlink">
    <w:name w:val="Hyperlink"/>
    <w:rsid w:val="00AD32ED"/>
    <w:rPr>
      <w:color w:val="666699"/>
      <w:u w:val="single"/>
    </w:rPr>
  </w:style>
  <w:style w:type="character" w:customStyle="1" w:styleId="FooterChar">
    <w:name w:val="Footer Char"/>
    <w:link w:val="Footer"/>
    <w:uiPriority w:val="99"/>
    <w:rsid w:val="006058E8"/>
    <w:rPr>
      <w:sz w:val="24"/>
      <w:szCs w:val="24"/>
    </w:rPr>
  </w:style>
  <w:style w:type="character" w:styleId="FollowedHyperlink">
    <w:name w:val="FollowedHyperlink"/>
    <w:rsid w:val="00D0489B"/>
    <w:rPr>
      <w:color w:val="800080"/>
      <w:u w:val="single"/>
    </w:rPr>
  </w:style>
  <w:style w:type="paragraph" w:styleId="ListParagraph">
    <w:name w:val="List Paragraph"/>
    <w:basedOn w:val="Normal"/>
    <w:uiPriority w:val="34"/>
    <w:qFormat/>
    <w:rsid w:val="006067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40726">
      <w:bodyDiv w:val="1"/>
      <w:marLeft w:val="0"/>
      <w:marRight w:val="0"/>
      <w:marTop w:val="0"/>
      <w:marBottom w:val="0"/>
      <w:divBdr>
        <w:top w:val="none" w:sz="0" w:space="0" w:color="auto"/>
        <w:left w:val="none" w:sz="0" w:space="0" w:color="auto"/>
        <w:bottom w:val="none" w:sz="0" w:space="0" w:color="auto"/>
        <w:right w:val="none" w:sz="0" w:space="0" w:color="auto"/>
      </w:divBdr>
    </w:div>
    <w:div w:id="8422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qub.ac.uk/directorates/HumanResources/pay-rewards-and-benefits/pay-and-conditions/" TargetMode="External"/><Relationship Id="rId13" Type="http://schemas.openxmlformats.org/officeDocument/2006/relationships/hyperlink" Target="http://www.qub.ac.uk/directorates/HumanResources/annual-family-other-leave/work-life-balance-policies/" TargetMode="External"/><Relationship Id="rId18" Type="http://schemas.openxmlformats.org/officeDocument/2006/relationships/hyperlink" Target="http://www.qub.ac.uk/directorates/HumanResources/workplace-conduc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qub.ac.uk/directorates/HumanResources/managers/sickness-absence-toolkit/" TargetMode="External"/><Relationship Id="rId17" Type="http://schemas.openxmlformats.org/officeDocument/2006/relationships/hyperlink" Target="http://www.qub.ac.uk/directorates/HumanResources/leaving-the-university/" TargetMode="External"/><Relationship Id="rId2" Type="http://schemas.openxmlformats.org/officeDocument/2006/relationships/styles" Target="styles.xml"/><Relationship Id="rId16" Type="http://schemas.openxmlformats.org/officeDocument/2006/relationships/hyperlink" Target="http://www.qub.ac.uk/about/Leadership-and-structure/Registrars-Office/Polic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b.ac.uk/directorates/HumanResources/pay-rewards-and-benefits/pay-and-condi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qub.ac.uk/directorates/HumanResources/" TargetMode="External"/><Relationship Id="rId23" Type="http://schemas.openxmlformats.org/officeDocument/2006/relationships/fontTable" Target="fontTable.xml"/><Relationship Id="rId10" Type="http://schemas.openxmlformats.org/officeDocument/2006/relationships/hyperlink" Target="http://www.qub.ac.uk/directorates/HumanResources/managers/sickness-absence-toolkit/" TargetMode="External"/><Relationship Id="rId19" Type="http://schemas.openxmlformats.org/officeDocument/2006/relationships/hyperlink" Target="http://www.qub.ac.uk/directorates/HumanResources/employees/career-progression/personal-development-review/" TargetMode="External"/><Relationship Id="rId4" Type="http://schemas.openxmlformats.org/officeDocument/2006/relationships/webSettings" Target="webSettings.xml"/><Relationship Id="rId9" Type="http://schemas.openxmlformats.org/officeDocument/2006/relationships/hyperlink" Target="http://www.qub.ac.uk/directorates/HumanResources/annual-family-other-leave/annual-leave/" TargetMode="External"/><Relationship Id="rId14" Type="http://schemas.openxmlformats.org/officeDocument/2006/relationships/hyperlink" Target="http://www.qub.ac.uk/directorates/HumanResources/learning-and-developmen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Queens University Belfast</Company>
  <LinksUpToDate>false</LinksUpToDate>
  <CharactersWithSpaces>11462</CharactersWithSpaces>
  <SharedDoc>false</SharedDoc>
  <HLinks>
    <vt:vector size="72" baseType="variant">
      <vt:variant>
        <vt:i4>7208992</vt:i4>
      </vt:variant>
      <vt:variant>
        <vt:i4>36</vt:i4>
      </vt:variant>
      <vt:variant>
        <vt:i4>0</vt:i4>
      </vt:variant>
      <vt:variant>
        <vt:i4>5</vt:i4>
      </vt:variant>
      <vt:variant>
        <vt:lpwstr>http://www.qub.ac.uk/directorates/HumanResources/employees/career-progression/personal-development-review/</vt:lpwstr>
      </vt:variant>
      <vt:variant>
        <vt:lpwstr/>
      </vt:variant>
      <vt:variant>
        <vt:i4>2097192</vt:i4>
      </vt:variant>
      <vt:variant>
        <vt:i4>33</vt:i4>
      </vt:variant>
      <vt:variant>
        <vt:i4>0</vt:i4>
      </vt:variant>
      <vt:variant>
        <vt:i4>5</vt:i4>
      </vt:variant>
      <vt:variant>
        <vt:lpwstr>http://www.qub.ac.uk/directorates/HumanResources/workplace-conduct/</vt:lpwstr>
      </vt:variant>
      <vt:variant>
        <vt:lpwstr/>
      </vt:variant>
      <vt:variant>
        <vt:i4>1966089</vt:i4>
      </vt:variant>
      <vt:variant>
        <vt:i4>30</vt:i4>
      </vt:variant>
      <vt:variant>
        <vt:i4>0</vt:i4>
      </vt:variant>
      <vt:variant>
        <vt:i4>5</vt:i4>
      </vt:variant>
      <vt:variant>
        <vt:lpwstr>http://www.qub.ac.uk/directorates/HumanResources/leaving-the-university/</vt:lpwstr>
      </vt:variant>
      <vt:variant>
        <vt:lpwstr/>
      </vt:variant>
      <vt:variant>
        <vt:i4>6357037</vt:i4>
      </vt:variant>
      <vt:variant>
        <vt:i4>27</vt:i4>
      </vt:variant>
      <vt:variant>
        <vt:i4>0</vt:i4>
      </vt:variant>
      <vt:variant>
        <vt:i4>5</vt:i4>
      </vt:variant>
      <vt:variant>
        <vt:lpwstr>http://www.qub.ac.uk/about/Leadership-and-structure/Registrars-Office/Policies/</vt:lpwstr>
      </vt:variant>
      <vt:variant>
        <vt:lpwstr/>
      </vt:variant>
      <vt:variant>
        <vt:i4>6094921</vt:i4>
      </vt:variant>
      <vt:variant>
        <vt:i4>24</vt:i4>
      </vt:variant>
      <vt:variant>
        <vt:i4>0</vt:i4>
      </vt:variant>
      <vt:variant>
        <vt:i4>5</vt:i4>
      </vt:variant>
      <vt:variant>
        <vt:lpwstr>http://www.qub.ac.uk/directorates/HumanResources/</vt:lpwstr>
      </vt:variant>
      <vt:variant>
        <vt:lpwstr/>
      </vt:variant>
      <vt:variant>
        <vt:i4>8192101</vt:i4>
      </vt:variant>
      <vt:variant>
        <vt:i4>21</vt:i4>
      </vt:variant>
      <vt:variant>
        <vt:i4>0</vt:i4>
      </vt:variant>
      <vt:variant>
        <vt:i4>5</vt:i4>
      </vt:variant>
      <vt:variant>
        <vt:lpwstr>http://www.qub.ac.uk/directorates/HumanResources/learning-and-development/</vt:lpwstr>
      </vt:variant>
      <vt:variant>
        <vt:lpwstr/>
      </vt:variant>
      <vt:variant>
        <vt:i4>6684714</vt:i4>
      </vt:variant>
      <vt:variant>
        <vt:i4>18</vt:i4>
      </vt:variant>
      <vt:variant>
        <vt:i4>0</vt:i4>
      </vt:variant>
      <vt:variant>
        <vt:i4>5</vt:i4>
      </vt:variant>
      <vt:variant>
        <vt:lpwstr>http://www.qub.ac.uk/directorates/HumanResources/annual-family-other-leave/work-life-balance-policies/</vt:lpwstr>
      </vt:variant>
      <vt:variant>
        <vt:lpwstr/>
      </vt:variant>
      <vt:variant>
        <vt:i4>7143539</vt:i4>
      </vt:variant>
      <vt:variant>
        <vt:i4>15</vt:i4>
      </vt:variant>
      <vt:variant>
        <vt:i4>0</vt:i4>
      </vt:variant>
      <vt:variant>
        <vt:i4>5</vt:i4>
      </vt:variant>
      <vt:variant>
        <vt:lpwstr>http://www.qub.ac.uk/directorates/HumanResources/managers/sickness-absence-toolkit/</vt:lpwstr>
      </vt:variant>
      <vt:variant>
        <vt:lpwstr/>
      </vt:variant>
      <vt:variant>
        <vt:i4>524369</vt:i4>
      </vt:variant>
      <vt:variant>
        <vt:i4>12</vt:i4>
      </vt:variant>
      <vt:variant>
        <vt:i4>0</vt:i4>
      </vt:variant>
      <vt:variant>
        <vt:i4>5</vt:i4>
      </vt:variant>
      <vt:variant>
        <vt:lpwstr>http://www.qub.ac.uk/directorates/HumanResources/pay-rewards-and-benefits/pay-and-conditions/</vt:lpwstr>
      </vt:variant>
      <vt:variant>
        <vt:lpwstr/>
      </vt:variant>
      <vt:variant>
        <vt:i4>7143539</vt:i4>
      </vt:variant>
      <vt:variant>
        <vt:i4>9</vt:i4>
      </vt:variant>
      <vt:variant>
        <vt:i4>0</vt:i4>
      </vt:variant>
      <vt:variant>
        <vt:i4>5</vt:i4>
      </vt:variant>
      <vt:variant>
        <vt:lpwstr>http://www.qub.ac.uk/directorates/HumanResources/managers/sickness-absence-toolkit/</vt:lpwstr>
      </vt:variant>
      <vt:variant>
        <vt:lpwstr/>
      </vt:variant>
      <vt:variant>
        <vt:i4>852036</vt:i4>
      </vt:variant>
      <vt:variant>
        <vt:i4>6</vt:i4>
      </vt:variant>
      <vt:variant>
        <vt:i4>0</vt:i4>
      </vt:variant>
      <vt:variant>
        <vt:i4>5</vt:i4>
      </vt:variant>
      <vt:variant>
        <vt:lpwstr>http://www.qub.ac.uk/directorates/HumanResources/annual-family-other-leave/annual-leave/</vt:lpwstr>
      </vt:variant>
      <vt:variant>
        <vt:lpwstr/>
      </vt:variant>
      <vt:variant>
        <vt:i4>524369</vt:i4>
      </vt:variant>
      <vt:variant>
        <vt:i4>3</vt:i4>
      </vt:variant>
      <vt:variant>
        <vt:i4>0</vt:i4>
      </vt:variant>
      <vt:variant>
        <vt:i4>5</vt:i4>
      </vt:variant>
      <vt:variant>
        <vt:lpwstr>http://www.qub.ac.uk/directorates/HumanResources/pay-rewards-and-benefits/pay-and-conditions/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QUB</dc:creator>
  <cp:keywords/>
  <cp:lastModifiedBy>Deborah Morgan</cp:lastModifiedBy>
  <cp:revision>2</cp:revision>
  <cp:lastPrinted>2019-07-31T09:25:00Z</cp:lastPrinted>
  <dcterms:created xsi:type="dcterms:W3CDTF">2022-04-07T09:28:00Z</dcterms:created>
  <dcterms:modified xsi:type="dcterms:W3CDTF">2022-04-07T09:28:00Z</dcterms:modified>
</cp:coreProperties>
</file>