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168" w:rsidRDefault="00D57168" w:rsidP="00D57168">
      <w:pPr>
        <w:jc w:val="center"/>
        <w:rPr>
          <w:rFonts w:ascii="Arial" w:hAnsi="Arial" w:cs="Arial"/>
          <w:b/>
          <w:bCs/>
        </w:rPr>
      </w:pPr>
      <w:bookmarkStart w:id="0" w:name="_GoBack"/>
      <w:bookmarkEnd w:id="0"/>
      <w:r>
        <w:rPr>
          <w:rFonts w:ascii="Arial" w:hAnsi="Arial" w:cs="Arial"/>
          <w:b/>
          <w:bCs/>
        </w:rPr>
        <w:t>Q</w:t>
      </w:r>
      <w:r w:rsidRPr="3C57E181">
        <w:rPr>
          <w:rFonts w:ascii="Arial" w:hAnsi="Arial" w:cs="Arial"/>
          <w:b/>
          <w:bCs/>
        </w:rPr>
        <w:t>ueen’s University Belfast</w:t>
      </w:r>
    </w:p>
    <w:p w:rsidR="00D57168" w:rsidRPr="00D57168" w:rsidRDefault="00D57168" w:rsidP="00D57168">
      <w:pPr>
        <w:jc w:val="center"/>
        <w:rPr>
          <w:rFonts w:ascii="Arial" w:hAnsi="Arial" w:cs="Arial"/>
          <w:b/>
          <w:bCs/>
        </w:rPr>
      </w:pPr>
      <w:r w:rsidRPr="00D57168">
        <w:rPr>
          <w:rFonts w:ascii="Arial" w:hAnsi="Arial" w:cs="Arial"/>
          <w:b/>
          <w:bCs/>
        </w:rPr>
        <w:t xml:space="preserve">Workload Allocation Guidance </w:t>
      </w:r>
    </w:p>
    <w:p w:rsidR="00D57168" w:rsidRDefault="00D57168" w:rsidP="00D57168">
      <w:pPr>
        <w:pStyle w:val="ListParagraph"/>
        <w:numPr>
          <w:ilvl w:val="0"/>
          <w:numId w:val="6"/>
        </w:numPr>
        <w:jc w:val="both"/>
        <w:rPr>
          <w:rFonts w:ascii="Arial" w:hAnsi="Arial" w:cs="Arial"/>
          <w:u w:val="single"/>
        </w:rPr>
      </w:pPr>
      <w:r w:rsidRPr="00082A22">
        <w:rPr>
          <w:rFonts w:ascii="Arial" w:hAnsi="Arial" w:cs="Arial"/>
          <w:u w:val="single"/>
        </w:rPr>
        <w:t>Purpose</w:t>
      </w:r>
    </w:p>
    <w:p w:rsidR="00D57168" w:rsidRPr="00DF3D1D" w:rsidRDefault="00D57168" w:rsidP="00D57168">
      <w:pPr>
        <w:jc w:val="both"/>
        <w:rPr>
          <w:rFonts w:ascii="Arial" w:hAnsi="Arial" w:cs="Arial"/>
        </w:rPr>
      </w:pPr>
      <w:r w:rsidRPr="4DB29EAB">
        <w:rPr>
          <w:rFonts w:ascii="Arial" w:hAnsi="Arial" w:cs="Arial"/>
        </w:rPr>
        <w:t>The purpose of an academic Workload Allocation Model is to ensure that there is a fair, reasonable and equitable allocation of work.</w:t>
      </w:r>
      <w:r w:rsidRPr="4DB29EAB">
        <w:rPr>
          <w:rFonts w:ascii="Arial" w:eastAsia="Arial" w:hAnsi="Arial" w:cs="Arial"/>
        </w:rPr>
        <w:t xml:space="preserve"> </w:t>
      </w:r>
      <w:r w:rsidRPr="4DB29EAB">
        <w:rPr>
          <w:rFonts w:ascii="Arial" w:hAnsi="Arial" w:cs="Arial"/>
        </w:rPr>
        <w:t>It will also ensure the following:</w:t>
      </w:r>
    </w:p>
    <w:p w:rsidR="00D57168" w:rsidRDefault="00D57168" w:rsidP="00D57168">
      <w:pPr>
        <w:pStyle w:val="ListParagraph"/>
        <w:numPr>
          <w:ilvl w:val="0"/>
          <w:numId w:val="7"/>
        </w:numPr>
        <w:ind w:left="720"/>
        <w:jc w:val="both"/>
        <w:rPr>
          <w:rFonts w:ascii="Arial" w:hAnsi="Arial" w:cs="Arial"/>
        </w:rPr>
      </w:pPr>
      <w:r w:rsidRPr="4DB29EAB">
        <w:rPr>
          <w:rFonts w:ascii="Arial" w:hAnsi="Arial" w:cs="Arial"/>
        </w:rPr>
        <w:t>The allocation of work is informed by and supports the achievement of local and institutional priorities.</w:t>
      </w:r>
    </w:p>
    <w:p w:rsidR="00D57168" w:rsidRPr="006B4D79" w:rsidRDefault="00D57168" w:rsidP="00D57168">
      <w:pPr>
        <w:pStyle w:val="ListParagraph"/>
        <w:jc w:val="both"/>
        <w:rPr>
          <w:rFonts w:ascii="Arial" w:hAnsi="Arial" w:cs="Arial"/>
          <w:sz w:val="16"/>
          <w:szCs w:val="16"/>
        </w:rPr>
      </w:pPr>
      <w:r w:rsidRPr="006B4D79">
        <w:rPr>
          <w:rFonts w:ascii="Arial" w:hAnsi="Arial" w:cs="Arial"/>
          <w:sz w:val="16"/>
          <w:szCs w:val="16"/>
        </w:rPr>
        <w:t xml:space="preserve">     </w:t>
      </w:r>
    </w:p>
    <w:p w:rsidR="00D57168" w:rsidRPr="006B4D79" w:rsidRDefault="00D57168" w:rsidP="00D57168">
      <w:pPr>
        <w:pStyle w:val="ListParagraph"/>
        <w:numPr>
          <w:ilvl w:val="0"/>
          <w:numId w:val="7"/>
        </w:numPr>
        <w:ind w:left="720"/>
        <w:jc w:val="both"/>
        <w:rPr>
          <w:rFonts w:ascii="Arial" w:hAnsi="Arial" w:cs="Arial"/>
        </w:rPr>
      </w:pPr>
      <w:r w:rsidRPr="00DF3D1D">
        <w:rPr>
          <w:rFonts w:ascii="Arial" w:hAnsi="Arial" w:cs="Arial"/>
        </w:rPr>
        <w:t>There is an appropriate balance of activities as</w:t>
      </w:r>
      <w:r>
        <w:rPr>
          <w:rFonts w:ascii="Arial" w:hAnsi="Arial" w:cs="Arial"/>
        </w:rPr>
        <w:t>signed to staff, which supports staff h</w:t>
      </w:r>
      <w:r w:rsidRPr="00DF3D1D">
        <w:rPr>
          <w:rFonts w:ascii="Arial" w:hAnsi="Arial" w:cs="Arial"/>
        </w:rPr>
        <w:t xml:space="preserve">ealth and </w:t>
      </w:r>
      <w:r>
        <w:rPr>
          <w:rFonts w:ascii="Arial" w:hAnsi="Arial" w:cs="Arial"/>
        </w:rPr>
        <w:t>w</w:t>
      </w:r>
      <w:r w:rsidRPr="00DF3D1D">
        <w:rPr>
          <w:rFonts w:ascii="Arial" w:hAnsi="Arial" w:cs="Arial"/>
        </w:rPr>
        <w:t>ellbeing</w:t>
      </w:r>
      <w:r>
        <w:rPr>
          <w:rFonts w:ascii="Arial" w:hAnsi="Arial" w:cs="Arial"/>
        </w:rPr>
        <w:t>.</w:t>
      </w:r>
      <w:r w:rsidRPr="006B4D79">
        <w:rPr>
          <w:rFonts w:ascii="Arial" w:hAnsi="Arial" w:cs="Arial"/>
        </w:rPr>
        <w:t xml:space="preserve">     </w:t>
      </w:r>
    </w:p>
    <w:p w:rsidR="00D57168" w:rsidRPr="006B4D79" w:rsidRDefault="00D57168" w:rsidP="00D57168">
      <w:pPr>
        <w:pStyle w:val="ListParagraph"/>
        <w:jc w:val="both"/>
        <w:rPr>
          <w:rFonts w:ascii="Arial" w:hAnsi="Arial" w:cs="Arial"/>
          <w:sz w:val="16"/>
          <w:szCs w:val="16"/>
        </w:rPr>
      </w:pPr>
      <w:r>
        <w:rPr>
          <w:rFonts w:ascii="Arial" w:hAnsi="Arial" w:cs="Arial"/>
          <w:sz w:val="16"/>
          <w:szCs w:val="16"/>
        </w:rPr>
        <w:t xml:space="preserve">    </w:t>
      </w:r>
    </w:p>
    <w:p w:rsidR="00D57168" w:rsidRDefault="00D57168" w:rsidP="00D57168">
      <w:pPr>
        <w:pStyle w:val="ListParagraph"/>
        <w:numPr>
          <w:ilvl w:val="0"/>
          <w:numId w:val="7"/>
        </w:numPr>
        <w:ind w:left="720"/>
        <w:jc w:val="both"/>
        <w:rPr>
          <w:rFonts w:ascii="Arial" w:hAnsi="Arial" w:cs="Arial"/>
        </w:rPr>
      </w:pPr>
      <w:r>
        <w:rPr>
          <w:rFonts w:ascii="Arial" w:hAnsi="Arial" w:cs="Arial"/>
        </w:rPr>
        <w:t>A</w:t>
      </w:r>
      <w:r w:rsidRPr="0451B841">
        <w:rPr>
          <w:rFonts w:ascii="Arial" w:hAnsi="Arial" w:cs="Arial"/>
        </w:rPr>
        <w:t xml:space="preserve">llocation </w:t>
      </w:r>
      <w:r>
        <w:rPr>
          <w:rFonts w:ascii="Arial" w:hAnsi="Arial" w:cs="Arial"/>
        </w:rPr>
        <w:t xml:space="preserve">of work is visible and there is an </w:t>
      </w:r>
      <w:r w:rsidRPr="0451B841">
        <w:rPr>
          <w:rFonts w:ascii="Arial" w:hAnsi="Arial" w:cs="Arial"/>
        </w:rPr>
        <w:t>opportunity</w:t>
      </w:r>
      <w:r>
        <w:rPr>
          <w:rFonts w:ascii="Arial" w:hAnsi="Arial" w:cs="Arial"/>
        </w:rPr>
        <w:t xml:space="preserve"> for staff to contribute to decisions in relation to workload allocation.</w:t>
      </w:r>
    </w:p>
    <w:p w:rsidR="00D57168" w:rsidRPr="006B4D79" w:rsidRDefault="00D57168" w:rsidP="00D57168">
      <w:pPr>
        <w:pStyle w:val="ListParagraph"/>
        <w:jc w:val="both"/>
        <w:rPr>
          <w:rFonts w:ascii="Arial" w:hAnsi="Arial" w:cs="Arial"/>
          <w:sz w:val="16"/>
          <w:szCs w:val="16"/>
        </w:rPr>
      </w:pPr>
      <w:r w:rsidRPr="006B4D79">
        <w:rPr>
          <w:rFonts w:ascii="Arial" w:hAnsi="Arial" w:cs="Arial"/>
          <w:sz w:val="16"/>
          <w:szCs w:val="16"/>
        </w:rPr>
        <w:t xml:space="preserve">         </w:t>
      </w:r>
    </w:p>
    <w:p w:rsidR="00D57168" w:rsidRDefault="00D57168" w:rsidP="00D57168">
      <w:pPr>
        <w:pStyle w:val="ListParagraph"/>
        <w:numPr>
          <w:ilvl w:val="0"/>
          <w:numId w:val="7"/>
        </w:numPr>
        <w:ind w:left="720"/>
        <w:jc w:val="both"/>
        <w:rPr>
          <w:rFonts w:ascii="Arial" w:hAnsi="Arial" w:cs="Arial"/>
        </w:rPr>
      </w:pPr>
      <w:r>
        <w:rPr>
          <w:rFonts w:ascii="Arial" w:hAnsi="Arial" w:cs="Arial"/>
        </w:rPr>
        <w:t xml:space="preserve">Workload allocation informs workforce planning and </w:t>
      </w:r>
      <w:r w:rsidRPr="002832F4">
        <w:rPr>
          <w:rFonts w:ascii="Arial" w:hAnsi="Arial" w:cs="Arial"/>
        </w:rPr>
        <w:t>ensur</w:t>
      </w:r>
      <w:r>
        <w:rPr>
          <w:rFonts w:ascii="Arial" w:hAnsi="Arial" w:cs="Arial"/>
        </w:rPr>
        <w:t xml:space="preserve">es that </w:t>
      </w:r>
      <w:r w:rsidRPr="002832F4">
        <w:rPr>
          <w:rFonts w:ascii="Arial" w:hAnsi="Arial" w:cs="Arial"/>
        </w:rPr>
        <w:t>quality research</w:t>
      </w:r>
      <w:r>
        <w:rPr>
          <w:rFonts w:ascii="Arial" w:hAnsi="Arial" w:cs="Arial"/>
        </w:rPr>
        <w:t>, scholarship</w:t>
      </w:r>
      <w:r w:rsidRPr="002832F4">
        <w:rPr>
          <w:rFonts w:ascii="Arial" w:hAnsi="Arial" w:cs="Arial"/>
        </w:rPr>
        <w:t xml:space="preserve">, teaching and </w:t>
      </w:r>
      <w:r>
        <w:rPr>
          <w:rFonts w:ascii="Arial" w:hAnsi="Arial" w:cs="Arial"/>
        </w:rPr>
        <w:t>citizenship is delivered across the University</w:t>
      </w:r>
      <w:r w:rsidRPr="002832F4">
        <w:rPr>
          <w:rFonts w:ascii="Arial" w:hAnsi="Arial" w:cs="Arial"/>
        </w:rPr>
        <w:t>.</w:t>
      </w:r>
    </w:p>
    <w:p w:rsidR="00D57168" w:rsidRPr="002832F4" w:rsidRDefault="00D57168" w:rsidP="00D57168">
      <w:pPr>
        <w:pStyle w:val="ListParagraph"/>
        <w:spacing w:after="200" w:line="288" w:lineRule="auto"/>
        <w:jc w:val="both"/>
        <w:rPr>
          <w:rFonts w:ascii="Arial" w:hAnsi="Arial" w:cs="Arial"/>
          <w:sz w:val="12"/>
        </w:rPr>
      </w:pPr>
    </w:p>
    <w:p w:rsidR="00D57168" w:rsidRPr="002832F4" w:rsidRDefault="00D57168" w:rsidP="00D57168">
      <w:pPr>
        <w:pStyle w:val="ListParagraph"/>
        <w:numPr>
          <w:ilvl w:val="0"/>
          <w:numId w:val="6"/>
        </w:numPr>
        <w:jc w:val="both"/>
        <w:rPr>
          <w:rFonts w:ascii="Arial" w:hAnsi="Arial" w:cs="Arial"/>
          <w:u w:val="single"/>
        </w:rPr>
      </w:pPr>
      <w:r w:rsidRPr="002832F4">
        <w:rPr>
          <w:rFonts w:ascii="Arial" w:hAnsi="Arial" w:cs="Arial"/>
          <w:u w:val="single"/>
        </w:rPr>
        <w:t>Scope</w:t>
      </w:r>
    </w:p>
    <w:p w:rsidR="00D57168" w:rsidRDefault="00D57168" w:rsidP="00D57168">
      <w:pPr>
        <w:pStyle w:val="NoSpacing"/>
        <w:jc w:val="both"/>
        <w:rPr>
          <w:rFonts w:ascii="Arial" w:hAnsi="Arial" w:cs="Arial"/>
        </w:rPr>
      </w:pPr>
      <w:r w:rsidRPr="13FD1896">
        <w:rPr>
          <w:rFonts w:ascii="Arial" w:hAnsi="Arial" w:cs="Arial"/>
        </w:rPr>
        <w:t xml:space="preserve">The guidelines apply to staff on all academic career pathways.  It is recommended that there should </w:t>
      </w:r>
      <w:r>
        <w:rPr>
          <w:rFonts w:ascii="Arial" w:hAnsi="Arial" w:cs="Arial"/>
        </w:rPr>
        <w:t xml:space="preserve">be </w:t>
      </w:r>
      <w:r w:rsidRPr="13FD1896">
        <w:rPr>
          <w:rFonts w:ascii="Arial" w:hAnsi="Arial" w:cs="Arial"/>
        </w:rPr>
        <w:t>a single model at an appropriate level of management</w:t>
      </w:r>
      <w:r>
        <w:rPr>
          <w:rFonts w:ascii="Arial" w:hAnsi="Arial" w:cs="Arial"/>
        </w:rPr>
        <w:t>,</w:t>
      </w:r>
      <w:r w:rsidRPr="13FD1896">
        <w:rPr>
          <w:rFonts w:ascii="Arial" w:hAnsi="Arial" w:cs="Arial"/>
        </w:rPr>
        <w:t xml:space="preserve"> usually at the level of School. </w:t>
      </w:r>
      <w:r>
        <w:rPr>
          <w:rFonts w:ascii="Arial" w:hAnsi="Arial" w:cs="Arial"/>
        </w:rPr>
        <w:t xml:space="preserve">The </w:t>
      </w:r>
      <w:r w:rsidRPr="13FD1896">
        <w:rPr>
          <w:rFonts w:ascii="Arial" w:hAnsi="Arial" w:cs="Arial"/>
        </w:rPr>
        <w:t xml:space="preserve">Head of School </w:t>
      </w:r>
      <w:r>
        <w:rPr>
          <w:rFonts w:ascii="Arial" w:hAnsi="Arial" w:cs="Arial"/>
        </w:rPr>
        <w:t xml:space="preserve">(HoS) is </w:t>
      </w:r>
      <w:r w:rsidRPr="13FD1896">
        <w:rPr>
          <w:rFonts w:ascii="Arial" w:hAnsi="Arial" w:cs="Arial"/>
        </w:rPr>
        <w:t xml:space="preserve">responsible for developing and maintaining workload allocation </w:t>
      </w:r>
      <w:r>
        <w:rPr>
          <w:rFonts w:ascii="Arial" w:hAnsi="Arial" w:cs="Arial"/>
        </w:rPr>
        <w:t xml:space="preserve">aligned </w:t>
      </w:r>
      <w:r w:rsidRPr="13FD1896">
        <w:rPr>
          <w:rFonts w:ascii="Arial" w:hAnsi="Arial" w:cs="Arial"/>
        </w:rPr>
        <w:t>with th</w:t>
      </w:r>
      <w:r>
        <w:rPr>
          <w:rFonts w:ascii="Arial" w:hAnsi="Arial" w:cs="Arial"/>
        </w:rPr>
        <w:t xml:space="preserve">is guidance </w:t>
      </w:r>
      <w:r w:rsidRPr="13FD1896">
        <w:rPr>
          <w:rFonts w:ascii="Arial" w:hAnsi="Arial" w:cs="Arial"/>
        </w:rPr>
        <w:t xml:space="preserve">and the priorities of the School. </w:t>
      </w:r>
    </w:p>
    <w:p w:rsidR="00D57168" w:rsidRDefault="00D57168" w:rsidP="00D57168">
      <w:pPr>
        <w:pStyle w:val="NoSpacing"/>
        <w:jc w:val="both"/>
        <w:rPr>
          <w:rFonts w:ascii="Arial" w:hAnsi="Arial" w:cs="Arial"/>
        </w:rPr>
      </w:pPr>
    </w:p>
    <w:p w:rsidR="00D57168" w:rsidRDefault="00D57168" w:rsidP="00D57168">
      <w:pPr>
        <w:pStyle w:val="ListParagraph"/>
        <w:numPr>
          <w:ilvl w:val="0"/>
          <w:numId w:val="6"/>
        </w:numPr>
        <w:jc w:val="both"/>
        <w:rPr>
          <w:rFonts w:ascii="Arial" w:hAnsi="Arial" w:cs="Arial"/>
          <w:u w:val="single"/>
        </w:rPr>
      </w:pPr>
      <w:r w:rsidRPr="00082A22">
        <w:rPr>
          <w:rFonts w:ascii="Arial" w:hAnsi="Arial" w:cs="Arial"/>
          <w:u w:val="single"/>
        </w:rPr>
        <w:t>Principles</w:t>
      </w:r>
    </w:p>
    <w:p w:rsidR="00D57168" w:rsidRDefault="00D57168" w:rsidP="00D57168">
      <w:pPr>
        <w:jc w:val="both"/>
        <w:rPr>
          <w:rFonts w:ascii="Arial" w:hAnsi="Arial" w:cs="Arial"/>
        </w:rPr>
      </w:pPr>
      <w:r w:rsidRPr="00676C12">
        <w:rPr>
          <w:rFonts w:ascii="Arial" w:hAnsi="Arial" w:cs="Arial"/>
        </w:rPr>
        <w:t xml:space="preserve">The following principles are intended to </w:t>
      </w:r>
      <w:r w:rsidRPr="002832F4">
        <w:rPr>
          <w:rFonts w:ascii="Arial" w:hAnsi="Arial" w:cs="Arial"/>
        </w:rPr>
        <w:t>underpin our approach to workload allocation across the University, creating consistency, while at the same time allowing flexibility to reflect local/disciplinary differences</w:t>
      </w:r>
      <w:r>
        <w:rPr>
          <w:rFonts w:ascii="Arial" w:hAnsi="Arial" w:cs="Arial"/>
        </w:rPr>
        <w:t xml:space="preserve"> specific to Schools</w:t>
      </w:r>
      <w:r w:rsidRPr="002832F4">
        <w:rPr>
          <w:rFonts w:ascii="Arial" w:hAnsi="Arial" w:cs="Arial"/>
        </w:rPr>
        <w:t>.</w:t>
      </w:r>
    </w:p>
    <w:p w:rsidR="00D57168" w:rsidRPr="00D27B15" w:rsidRDefault="00D57168" w:rsidP="00D57168">
      <w:pPr>
        <w:pStyle w:val="ListParagraph"/>
        <w:numPr>
          <w:ilvl w:val="0"/>
          <w:numId w:val="9"/>
        </w:numPr>
        <w:jc w:val="both"/>
        <w:rPr>
          <w:rFonts w:ascii="Arial" w:eastAsiaTheme="minorEastAsia" w:hAnsi="Arial" w:cs="Arial"/>
        </w:rPr>
      </w:pPr>
      <w:r w:rsidRPr="4DB29EAB">
        <w:rPr>
          <w:rFonts w:ascii="Arial" w:hAnsi="Arial" w:cs="Arial"/>
        </w:rPr>
        <w:t>Our approach to workload allocation</w:t>
      </w:r>
      <w:r>
        <w:rPr>
          <w:rFonts w:ascii="Arial" w:hAnsi="Arial" w:cs="Arial"/>
        </w:rPr>
        <w:t>,</w:t>
      </w:r>
      <w:r w:rsidRPr="4DB29EAB">
        <w:rPr>
          <w:rFonts w:ascii="Arial" w:hAnsi="Arial" w:cs="Arial"/>
        </w:rPr>
        <w:t xml:space="preserve"> including decisions and related discussions</w:t>
      </w:r>
      <w:r>
        <w:rPr>
          <w:rFonts w:ascii="Arial" w:hAnsi="Arial" w:cs="Arial"/>
        </w:rPr>
        <w:t>,</w:t>
      </w:r>
      <w:r w:rsidRPr="4DB29EAB">
        <w:rPr>
          <w:rFonts w:ascii="Arial" w:hAnsi="Arial" w:cs="Arial"/>
        </w:rPr>
        <w:t xml:space="preserve"> will be underpinned by our </w:t>
      </w:r>
      <w:hyperlink r:id="rId12">
        <w:r w:rsidRPr="4DB29EAB">
          <w:rPr>
            <w:rStyle w:val="Hyperlink"/>
            <w:rFonts w:ascii="Arial" w:hAnsi="Arial" w:cs="Arial"/>
          </w:rPr>
          <w:t>core values ICARE</w:t>
        </w:r>
      </w:hyperlink>
      <w:r w:rsidRPr="00D27B15">
        <w:rPr>
          <w:rStyle w:val="Hyperlink"/>
          <w:rFonts w:ascii="Arial" w:hAnsi="Arial" w:cs="Arial"/>
          <w:color w:val="auto"/>
          <w:u w:val="none"/>
        </w:rPr>
        <w:t xml:space="preserve">, and in line with our </w:t>
      </w:r>
      <w:hyperlink r:id="rId13" w:history="1">
        <w:r w:rsidRPr="00534CF3">
          <w:rPr>
            <w:rStyle w:val="Hyperlink"/>
            <w:rFonts w:ascii="Arial" w:hAnsi="Arial" w:cs="Arial"/>
          </w:rPr>
          <w:t>Equality, Diversity and Inclusion Policy</w:t>
        </w:r>
      </w:hyperlink>
      <w:r>
        <w:rPr>
          <w:rFonts w:ascii="Arial" w:hAnsi="Arial" w:cs="Arial"/>
        </w:rPr>
        <w:t>.</w:t>
      </w:r>
      <w:r w:rsidRPr="4DB29EAB">
        <w:rPr>
          <w:rFonts w:ascii="Arial" w:hAnsi="Arial" w:cs="Arial"/>
        </w:rPr>
        <w:t xml:space="preserve"> </w:t>
      </w:r>
      <w:r>
        <w:rPr>
          <w:rFonts w:ascii="Arial" w:hAnsi="Arial" w:cs="Arial"/>
        </w:rPr>
        <w:t xml:space="preserve">The aim of this is to </w:t>
      </w:r>
      <w:r w:rsidRPr="4DB29EAB">
        <w:rPr>
          <w:rFonts w:ascii="Arial" w:eastAsia="Arial" w:hAnsi="Arial" w:cs="Arial"/>
        </w:rPr>
        <w:t>engender</w:t>
      </w:r>
      <w:r>
        <w:rPr>
          <w:rFonts w:ascii="Arial" w:eastAsia="Arial" w:hAnsi="Arial" w:cs="Arial"/>
        </w:rPr>
        <w:t xml:space="preserve"> </w:t>
      </w:r>
      <w:r w:rsidRPr="4DB29EAB">
        <w:rPr>
          <w:rFonts w:ascii="Arial" w:hAnsi="Arial" w:cs="Arial"/>
        </w:rPr>
        <w:t xml:space="preserve">collaborative working </w:t>
      </w:r>
      <w:r w:rsidRPr="4DB29EAB">
        <w:rPr>
          <w:rFonts w:ascii="Arial" w:eastAsia="Arial" w:hAnsi="Arial" w:cs="Arial"/>
        </w:rPr>
        <w:t>between colleagues</w:t>
      </w:r>
      <w:r>
        <w:rPr>
          <w:rFonts w:ascii="Arial" w:eastAsia="Arial" w:hAnsi="Arial" w:cs="Arial"/>
        </w:rPr>
        <w:t>,</w:t>
      </w:r>
      <w:r w:rsidRPr="4DB29EAB">
        <w:rPr>
          <w:rFonts w:ascii="Arial" w:eastAsia="Arial" w:hAnsi="Arial" w:cs="Arial"/>
        </w:rPr>
        <w:t xml:space="preserve"> in a spirit of collegiality</w:t>
      </w:r>
      <w:r>
        <w:rPr>
          <w:rFonts w:ascii="Arial" w:eastAsia="Arial" w:hAnsi="Arial" w:cs="Arial"/>
        </w:rPr>
        <w:t>,</w:t>
      </w:r>
      <w:r w:rsidRPr="4DB29EAB">
        <w:rPr>
          <w:rFonts w:ascii="Arial" w:eastAsia="Arial" w:hAnsi="Arial" w:cs="Arial"/>
        </w:rPr>
        <w:t xml:space="preserve"> in which all staff are treated with dignity and respect.</w:t>
      </w:r>
    </w:p>
    <w:p w:rsidR="00D57168" w:rsidRPr="00D27B15" w:rsidRDefault="00D57168" w:rsidP="00D57168">
      <w:pPr>
        <w:pStyle w:val="ListParagraph"/>
        <w:jc w:val="both"/>
        <w:rPr>
          <w:rFonts w:ascii="Arial" w:eastAsiaTheme="minorEastAsia" w:hAnsi="Arial" w:cs="Arial"/>
          <w:sz w:val="16"/>
          <w:szCs w:val="16"/>
        </w:rPr>
      </w:pPr>
      <w:r>
        <w:rPr>
          <w:rFonts w:ascii="Arial" w:eastAsiaTheme="minorEastAsia" w:hAnsi="Arial" w:cs="Arial"/>
          <w:sz w:val="16"/>
          <w:szCs w:val="16"/>
        </w:rPr>
        <w:t xml:space="preserve">   </w:t>
      </w:r>
    </w:p>
    <w:p w:rsidR="00D57168" w:rsidRPr="00D27B15" w:rsidRDefault="00D57168" w:rsidP="00D57168">
      <w:pPr>
        <w:pStyle w:val="ListParagraph"/>
        <w:numPr>
          <w:ilvl w:val="0"/>
          <w:numId w:val="9"/>
        </w:numPr>
        <w:jc w:val="both"/>
      </w:pPr>
      <w:r w:rsidRPr="008E1527">
        <w:rPr>
          <w:rFonts w:ascii="Arial" w:hAnsi="Arial" w:cs="Arial"/>
        </w:rPr>
        <w:t xml:space="preserve">Workload will be fairly and transparently distributed among academic staff. There will be a transparent process for </w:t>
      </w:r>
      <w:r w:rsidR="00220FA1" w:rsidRPr="00A96E0C">
        <w:rPr>
          <w:rFonts w:ascii="Arial" w:hAnsi="Arial" w:cs="Arial"/>
        </w:rPr>
        <w:t>discussing with,</w:t>
      </w:r>
      <w:r w:rsidRPr="008E1527">
        <w:rPr>
          <w:rFonts w:ascii="Arial" w:hAnsi="Arial" w:cs="Arial"/>
        </w:rPr>
        <w:t xml:space="preserve"> and informing staff of individually allocated work</w:t>
      </w:r>
      <w:r>
        <w:rPr>
          <w:rFonts w:ascii="Arial" w:hAnsi="Arial" w:cs="Arial"/>
        </w:rPr>
        <w:t>.</w:t>
      </w:r>
    </w:p>
    <w:p w:rsidR="00D57168" w:rsidRPr="00D27B15" w:rsidRDefault="00D57168" w:rsidP="00D57168">
      <w:pPr>
        <w:pStyle w:val="ListParagraph"/>
        <w:jc w:val="both"/>
        <w:rPr>
          <w:rFonts w:ascii="Arial" w:eastAsiaTheme="minorEastAsia" w:hAnsi="Arial" w:cs="Arial"/>
          <w:sz w:val="16"/>
          <w:szCs w:val="16"/>
        </w:rPr>
      </w:pPr>
    </w:p>
    <w:p w:rsidR="00D57168" w:rsidRPr="00D27B15" w:rsidRDefault="00D57168" w:rsidP="00D57168">
      <w:pPr>
        <w:pStyle w:val="ListParagraph"/>
        <w:numPr>
          <w:ilvl w:val="0"/>
          <w:numId w:val="9"/>
        </w:numPr>
        <w:jc w:val="both"/>
        <w:rPr>
          <w:rFonts w:ascii="Arial" w:hAnsi="Arial" w:cs="Arial"/>
        </w:rPr>
      </w:pPr>
      <w:r w:rsidRPr="2B1EFBA2">
        <w:rPr>
          <w:rFonts w:ascii="Arial" w:hAnsi="Arial" w:cs="Arial"/>
        </w:rPr>
        <w:t>There will be no significant or protracted over or under allocation</w:t>
      </w:r>
      <w:r>
        <w:rPr>
          <w:rFonts w:ascii="Arial" w:hAnsi="Arial" w:cs="Arial"/>
        </w:rPr>
        <w:t>*</w:t>
      </w:r>
      <w:r w:rsidRPr="2B1EFBA2">
        <w:rPr>
          <w:rFonts w:ascii="Arial" w:hAnsi="Arial" w:cs="Arial"/>
        </w:rPr>
        <w:t xml:space="preserve"> of hours over a 3 - 5 year cycle relative to peers.   </w:t>
      </w:r>
    </w:p>
    <w:p w:rsidR="00D57168" w:rsidRPr="00D27B15" w:rsidRDefault="00D57168" w:rsidP="00D57168">
      <w:pPr>
        <w:pStyle w:val="ListParagraph"/>
        <w:jc w:val="both"/>
        <w:rPr>
          <w:rFonts w:ascii="Arial" w:eastAsiaTheme="minorEastAsia" w:hAnsi="Arial" w:cs="Arial"/>
          <w:sz w:val="16"/>
          <w:szCs w:val="16"/>
        </w:rPr>
      </w:pPr>
    </w:p>
    <w:p w:rsidR="00D57168" w:rsidRPr="002449E8" w:rsidRDefault="00D57168" w:rsidP="00D57168">
      <w:pPr>
        <w:pStyle w:val="ListParagraph"/>
        <w:numPr>
          <w:ilvl w:val="0"/>
          <w:numId w:val="9"/>
        </w:numPr>
        <w:jc w:val="both"/>
        <w:rPr>
          <w:rFonts w:ascii="Arial" w:hAnsi="Arial" w:cs="Arial"/>
        </w:rPr>
      </w:pPr>
      <w:r w:rsidRPr="002449E8">
        <w:rPr>
          <w:rFonts w:ascii="Arial" w:hAnsi="Arial" w:cs="Arial"/>
        </w:rPr>
        <w:t>Comparable allowances will be provided for similar research/scholarship, teaching and citizenship tasks across the University, while recognising the varying demands of specific roles across Schools and disciplines.</w:t>
      </w:r>
    </w:p>
    <w:p w:rsidR="00D57168" w:rsidRPr="00D27B15" w:rsidRDefault="00D57168" w:rsidP="00D57168">
      <w:pPr>
        <w:pStyle w:val="ListParagraph"/>
        <w:jc w:val="both"/>
        <w:rPr>
          <w:rFonts w:ascii="Arial" w:eastAsiaTheme="minorEastAsia" w:hAnsi="Arial" w:cs="Arial"/>
          <w:sz w:val="16"/>
          <w:szCs w:val="16"/>
        </w:rPr>
      </w:pPr>
    </w:p>
    <w:p w:rsidR="00D57168" w:rsidRDefault="00D57168" w:rsidP="00D57168">
      <w:pPr>
        <w:pStyle w:val="ListParagraph"/>
        <w:numPr>
          <w:ilvl w:val="0"/>
          <w:numId w:val="9"/>
        </w:numPr>
        <w:jc w:val="both"/>
        <w:rPr>
          <w:rFonts w:ascii="Arial" w:hAnsi="Arial" w:cs="Arial"/>
        </w:rPr>
      </w:pPr>
      <w:r w:rsidRPr="00D27B15">
        <w:rPr>
          <w:rFonts w:ascii="Arial" w:hAnsi="Arial" w:cs="Arial"/>
        </w:rPr>
        <w:lastRenderedPageBreak/>
        <w:t>Workload allocation will enable the balance of an individual’s activity in teaching, research/scholarship and citizenship to be visualised and to be appropriately distributed over a period of time.</w:t>
      </w:r>
    </w:p>
    <w:p w:rsidR="00D57168" w:rsidRPr="00D27B15" w:rsidRDefault="00D57168" w:rsidP="00D57168">
      <w:pPr>
        <w:pStyle w:val="ListParagraph"/>
        <w:jc w:val="both"/>
        <w:rPr>
          <w:rFonts w:ascii="Arial" w:hAnsi="Arial" w:cs="Arial"/>
          <w:sz w:val="16"/>
        </w:rPr>
      </w:pPr>
    </w:p>
    <w:p w:rsidR="00D57168" w:rsidRPr="00292FCE" w:rsidRDefault="00D57168" w:rsidP="00A96E0C">
      <w:pPr>
        <w:pStyle w:val="ListParagraph"/>
        <w:numPr>
          <w:ilvl w:val="0"/>
          <w:numId w:val="9"/>
        </w:numPr>
        <w:rPr>
          <w:rFonts w:ascii="Arial" w:hAnsi="Arial" w:cs="Arial"/>
        </w:rPr>
      </w:pPr>
      <w:r>
        <w:rPr>
          <w:rFonts w:ascii="Arial" w:hAnsi="Arial" w:cs="Arial"/>
        </w:rPr>
        <w:t>A practical and realistic approach to the process of w</w:t>
      </w:r>
      <w:r w:rsidRPr="00E94BD2">
        <w:rPr>
          <w:rFonts w:ascii="Arial" w:hAnsi="Arial" w:cs="Arial"/>
        </w:rPr>
        <w:t xml:space="preserve">orkload allocation will be </w:t>
      </w:r>
      <w:r>
        <w:rPr>
          <w:rFonts w:ascii="Arial" w:hAnsi="Arial" w:cs="Arial"/>
        </w:rPr>
        <w:t xml:space="preserve">taken, which acknowledges the difficulties of accounting for all staff time. The process itself </w:t>
      </w:r>
      <w:r w:rsidRPr="00E94BD2">
        <w:rPr>
          <w:rFonts w:ascii="Arial" w:hAnsi="Arial" w:cs="Arial"/>
        </w:rPr>
        <w:t xml:space="preserve">should not require disproportionate effort to maintain. The approach should evolve each year to reflect any changes in effort </w:t>
      </w:r>
      <w:r w:rsidRPr="00292FCE">
        <w:rPr>
          <w:rFonts w:ascii="Arial" w:hAnsi="Arial" w:cs="Arial"/>
        </w:rPr>
        <w:t xml:space="preserve">required for duties, as well as identifying and eliminating any inefficiencies in the way that we work. </w:t>
      </w:r>
    </w:p>
    <w:p w:rsidR="00D57168" w:rsidRPr="00292FCE" w:rsidRDefault="00D57168" w:rsidP="00D57168">
      <w:pPr>
        <w:pStyle w:val="ListParagraph"/>
        <w:jc w:val="both"/>
        <w:rPr>
          <w:rFonts w:ascii="Arial" w:hAnsi="Arial" w:cs="Arial"/>
        </w:rPr>
      </w:pPr>
    </w:p>
    <w:p w:rsidR="00D57168" w:rsidRPr="00292FCE" w:rsidRDefault="00D57168" w:rsidP="00D57168">
      <w:pPr>
        <w:pStyle w:val="ListParagraph"/>
        <w:numPr>
          <w:ilvl w:val="0"/>
          <w:numId w:val="9"/>
        </w:numPr>
        <w:jc w:val="both"/>
        <w:rPr>
          <w:rFonts w:ascii="Arial" w:hAnsi="Arial" w:cs="Arial"/>
        </w:rPr>
      </w:pPr>
      <w:r w:rsidRPr="00292FCE">
        <w:rPr>
          <w:rFonts w:ascii="Arial" w:hAnsi="Arial" w:cs="Arial"/>
        </w:rPr>
        <w:t>Workload allocation will be agile and flexible enabling us to respond to internal and external factors which may impact workloads in any given Semester or Academic Year.</w:t>
      </w:r>
    </w:p>
    <w:p w:rsidR="00D57168" w:rsidRPr="00D27B15" w:rsidRDefault="00D57168" w:rsidP="00D57168">
      <w:pPr>
        <w:pStyle w:val="ListParagraph"/>
        <w:jc w:val="both"/>
        <w:rPr>
          <w:rFonts w:ascii="Arial" w:eastAsiaTheme="minorEastAsia" w:hAnsi="Arial" w:cs="Arial"/>
          <w:sz w:val="16"/>
          <w:szCs w:val="16"/>
        </w:rPr>
      </w:pPr>
      <w:r>
        <w:rPr>
          <w:rFonts w:ascii="Arial" w:eastAsiaTheme="minorEastAsia" w:hAnsi="Arial" w:cs="Arial"/>
          <w:sz w:val="16"/>
          <w:szCs w:val="16"/>
        </w:rPr>
        <w:t xml:space="preserve">   </w:t>
      </w:r>
    </w:p>
    <w:p w:rsidR="00D57168" w:rsidRPr="00A96E0C" w:rsidRDefault="00D57168" w:rsidP="00D57168">
      <w:pPr>
        <w:pStyle w:val="ListParagraph"/>
        <w:numPr>
          <w:ilvl w:val="0"/>
          <w:numId w:val="9"/>
        </w:numPr>
        <w:jc w:val="both"/>
      </w:pPr>
      <w:r w:rsidRPr="00DD50C6">
        <w:rPr>
          <w:rFonts w:ascii="Arial" w:hAnsi="Arial" w:cs="Arial"/>
        </w:rPr>
        <w:t>Workload allocation will be compatible with reasonable expectations of work-life balance, our EDI principles taking into account individual circumstances which may have an impact on workload, such as</w:t>
      </w:r>
      <w:r w:rsidR="009633CD" w:rsidRPr="00DD50C6">
        <w:rPr>
          <w:rFonts w:ascii="Arial" w:hAnsi="Arial" w:cs="Arial"/>
        </w:rPr>
        <w:t>:</w:t>
      </w:r>
    </w:p>
    <w:p w:rsidR="00A96E0C" w:rsidRPr="00A96E0C" w:rsidRDefault="00A96E0C" w:rsidP="00A96E0C">
      <w:pPr>
        <w:pStyle w:val="ListParagraph"/>
        <w:jc w:val="both"/>
        <w:rPr>
          <w:sz w:val="16"/>
        </w:rPr>
      </w:pPr>
    </w:p>
    <w:p w:rsidR="009633CD" w:rsidRPr="00DD50C6" w:rsidRDefault="009633CD" w:rsidP="009633CD">
      <w:pPr>
        <w:pStyle w:val="ListParagraph"/>
        <w:numPr>
          <w:ilvl w:val="0"/>
          <w:numId w:val="12"/>
        </w:numPr>
        <w:spacing w:line="252" w:lineRule="auto"/>
        <w:rPr>
          <w:rFonts w:ascii="Arial" w:hAnsi="Arial" w:cs="Arial"/>
          <w:iCs/>
        </w:rPr>
      </w:pPr>
      <w:r w:rsidRPr="00DD50C6">
        <w:rPr>
          <w:rFonts w:ascii="Arial" w:hAnsi="Arial" w:cs="Arial"/>
          <w:iCs/>
        </w:rPr>
        <w:t>maternity, paternity, parental or adoption leave, or other family leave;</w:t>
      </w:r>
    </w:p>
    <w:p w:rsidR="009633CD" w:rsidRPr="00DD50C6" w:rsidRDefault="009633CD" w:rsidP="009633CD">
      <w:pPr>
        <w:pStyle w:val="ListParagraph"/>
        <w:numPr>
          <w:ilvl w:val="0"/>
          <w:numId w:val="12"/>
        </w:numPr>
        <w:spacing w:line="252" w:lineRule="auto"/>
        <w:rPr>
          <w:rFonts w:ascii="Arial" w:hAnsi="Arial" w:cs="Arial"/>
          <w:iCs/>
        </w:rPr>
      </w:pPr>
      <w:r w:rsidRPr="00DD50C6">
        <w:rPr>
          <w:rFonts w:ascii="Arial" w:hAnsi="Arial" w:cs="Arial"/>
          <w:iCs/>
        </w:rPr>
        <w:t xml:space="preserve">part-time working; </w:t>
      </w:r>
    </w:p>
    <w:p w:rsidR="009633CD" w:rsidRDefault="009633CD" w:rsidP="009633CD">
      <w:pPr>
        <w:pStyle w:val="ListParagraph"/>
        <w:numPr>
          <w:ilvl w:val="0"/>
          <w:numId w:val="12"/>
        </w:numPr>
        <w:spacing w:line="252" w:lineRule="auto"/>
        <w:rPr>
          <w:rFonts w:ascii="Arial" w:hAnsi="Arial" w:cs="Arial"/>
          <w:iCs/>
        </w:rPr>
      </w:pPr>
      <w:r w:rsidRPr="00DD50C6">
        <w:rPr>
          <w:rFonts w:ascii="Arial" w:hAnsi="Arial" w:cs="Arial"/>
          <w:iCs/>
        </w:rPr>
        <w:t>disabilities, including neurodiverse conditions;</w:t>
      </w:r>
    </w:p>
    <w:p w:rsidR="003B07A8" w:rsidRPr="00DD50C6" w:rsidRDefault="003B07A8" w:rsidP="009633CD">
      <w:pPr>
        <w:pStyle w:val="ListParagraph"/>
        <w:numPr>
          <w:ilvl w:val="0"/>
          <w:numId w:val="12"/>
        </w:numPr>
        <w:spacing w:line="252" w:lineRule="auto"/>
        <w:rPr>
          <w:rFonts w:ascii="Arial" w:hAnsi="Arial" w:cs="Arial"/>
          <w:iCs/>
        </w:rPr>
      </w:pPr>
      <w:r>
        <w:rPr>
          <w:rFonts w:ascii="Arial" w:hAnsi="Arial" w:cs="Arial"/>
          <w:iCs/>
        </w:rPr>
        <w:t>minority and ethnic backgrounds, including BAME;</w:t>
      </w:r>
    </w:p>
    <w:p w:rsidR="009633CD" w:rsidRPr="00DD50C6" w:rsidRDefault="009633CD" w:rsidP="009633CD">
      <w:pPr>
        <w:pStyle w:val="ListParagraph"/>
        <w:numPr>
          <w:ilvl w:val="0"/>
          <w:numId w:val="12"/>
        </w:numPr>
        <w:spacing w:line="252" w:lineRule="auto"/>
        <w:rPr>
          <w:rFonts w:ascii="Arial" w:hAnsi="Arial" w:cs="Arial"/>
          <w:iCs/>
        </w:rPr>
      </w:pPr>
      <w:r w:rsidRPr="00DD50C6">
        <w:rPr>
          <w:rFonts w:ascii="Arial" w:hAnsi="Arial" w:cs="Arial"/>
          <w:iCs/>
        </w:rPr>
        <w:t xml:space="preserve">periods of absence arising from ill-health, including disability or long term condition, mental health, or injury; </w:t>
      </w:r>
    </w:p>
    <w:p w:rsidR="009633CD" w:rsidRPr="00DD50C6" w:rsidRDefault="009633CD" w:rsidP="009633CD">
      <w:pPr>
        <w:pStyle w:val="ListParagraph"/>
        <w:numPr>
          <w:ilvl w:val="0"/>
          <w:numId w:val="12"/>
        </w:numPr>
        <w:spacing w:line="252" w:lineRule="auto"/>
        <w:rPr>
          <w:rFonts w:ascii="Arial" w:hAnsi="Arial" w:cs="Arial"/>
          <w:iCs/>
        </w:rPr>
      </w:pPr>
      <w:r w:rsidRPr="00DD50C6">
        <w:rPr>
          <w:rFonts w:ascii="Arial" w:hAnsi="Arial" w:cs="Arial"/>
          <w:iCs/>
        </w:rPr>
        <w:t xml:space="preserve">periods of absence arising from gender reassignment; </w:t>
      </w:r>
    </w:p>
    <w:p w:rsidR="009633CD" w:rsidRPr="00DD50C6" w:rsidRDefault="009633CD" w:rsidP="009633CD">
      <w:pPr>
        <w:pStyle w:val="ListParagraph"/>
        <w:numPr>
          <w:ilvl w:val="0"/>
          <w:numId w:val="12"/>
        </w:numPr>
        <w:spacing w:line="252" w:lineRule="auto"/>
        <w:rPr>
          <w:rFonts w:ascii="Arial" w:hAnsi="Arial" w:cs="Arial"/>
          <w:iCs/>
        </w:rPr>
      </w:pPr>
      <w:r w:rsidRPr="00DD50C6">
        <w:rPr>
          <w:rFonts w:ascii="Arial" w:hAnsi="Arial" w:cs="Arial"/>
          <w:iCs/>
        </w:rPr>
        <w:t xml:space="preserve">career breaks; </w:t>
      </w:r>
    </w:p>
    <w:p w:rsidR="009633CD" w:rsidRPr="00DD50C6" w:rsidRDefault="009633CD" w:rsidP="009633CD">
      <w:pPr>
        <w:pStyle w:val="ListParagraph"/>
        <w:numPr>
          <w:ilvl w:val="0"/>
          <w:numId w:val="12"/>
        </w:numPr>
        <w:spacing w:line="252" w:lineRule="auto"/>
        <w:rPr>
          <w:rFonts w:ascii="Arial" w:hAnsi="Arial" w:cs="Arial"/>
          <w:iCs/>
        </w:rPr>
      </w:pPr>
      <w:r w:rsidRPr="00DD50C6">
        <w:rPr>
          <w:rFonts w:ascii="Arial" w:hAnsi="Arial" w:cs="Arial"/>
          <w:iCs/>
        </w:rPr>
        <w:t xml:space="preserve">personal, family (for example, </w:t>
      </w:r>
      <w:r w:rsidR="00BE4844" w:rsidRPr="00DD50C6">
        <w:rPr>
          <w:rFonts w:ascii="Arial" w:hAnsi="Arial" w:cs="Arial"/>
          <w:iCs/>
        </w:rPr>
        <w:t xml:space="preserve">dependants, </w:t>
      </w:r>
      <w:r w:rsidRPr="00DD50C6">
        <w:rPr>
          <w:rFonts w:ascii="Arial" w:hAnsi="Arial" w:cs="Arial"/>
          <w:iCs/>
        </w:rPr>
        <w:t xml:space="preserve">caring responsibilities) or other non-academic circumstances that have impacted on work for a sustained period; or </w:t>
      </w:r>
    </w:p>
    <w:p w:rsidR="009633CD" w:rsidRPr="00DD50C6" w:rsidRDefault="009633CD" w:rsidP="009633CD">
      <w:pPr>
        <w:pStyle w:val="ListParagraph"/>
        <w:numPr>
          <w:ilvl w:val="0"/>
          <w:numId w:val="12"/>
        </w:numPr>
        <w:spacing w:line="252" w:lineRule="auto"/>
        <w:rPr>
          <w:rFonts w:ascii="Arial" w:hAnsi="Arial" w:cs="Arial"/>
          <w:iCs/>
        </w:rPr>
      </w:pPr>
      <w:r w:rsidRPr="00DD50C6">
        <w:rPr>
          <w:rFonts w:ascii="Arial" w:hAnsi="Arial" w:cs="Arial"/>
          <w:iCs/>
        </w:rPr>
        <w:t xml:space="preserve">secondments and previous employment. </w:t>
      </w:r>
    </w:p>
    <w:p w:rsidR="009633CD" w:rsidRPr="00DD50C6" w:rsidRDefault="009633CD" w:rsidP="009633CD">
      <w:pPr>
        <w:ind w:left="720"/>
        <w:rPr>
          <w:rFonts w:ascii="Arial" w:hAnsi="Arial" w:cs="Arial"/>
        </w:rPr>
      </w:pPr>
      <w:r w:rsidRPr="00DD50C6">
        <w:rPr>
          <w:rFonts w:ascii="Arial" w:hAnsi="Arial" w:cs="Arial"/>
          <w:iCs/>
        </w:rPr>
        <w:t>Meetings between the employee and the Head of School will provide an opportunity to discuss any</w:t>
      </w:r>
      <w:r w:rsidR="006D4C7F" w:rsidRPr="00DD50C6">
        <w:rPr>
          <w:rFonts w:ascii="Arial" w:hAnsi="Arial" w:cs="Arial"/>
          <w:iCs/>
        </w:rPr>
        <w:t xml:space="preserve"> flexibility and/or considerations</w:t>
      </w:r>
      <w:r w:rsidRPr="00DD50C6">
        <w:rPr>
          <w:rFonts w:ascii="Arial" w:hAnsi="Arial" w:cs="Arial"/>
          <w:iCs/>
        </w:rPr>
        <w:t xml:space="preserve"> that may be required to achieve a fair allocation of work</w:t>
      </w:r>
      <w:r w:rsidRPr="00DD50C6">
        <w:rPr>
          <w:rFonts w:ascii="Arial" w:hAnsi="Arial" w:cs="Arial"/>
        </w:rPr>
        <w:t xml:space="preserve"> and facilitate a healthy working environment.</w:t>
      </w:r>
    </w:p>
    <w:p w:rsidR="00D57168" w:rsidRPr="00892B1F" w:rsidRDefault="00D57168" w:rsidP="00D57168">
      <w:pPr>
        <w:pStyle w:val="ListParagraph"/>
        <w:numPr>
          <w:ilvl w:val="0"/>
          <w:numId w:val="9"/>
        </w:numPr>
        <w:jc w:val="both"/>
        <w:rPr>
          <w:rStyle w:val="Hyperlink"/>
        </w:rPr>
      </w:pPr>
      <w:r>
        <w:rPr>
          <w:rFonts w:ascii="Arial" w:hAnsi="Arial" w:cs="Arial"/>
        </w:rPr>
        <w:t>Workload allocation will be</w:t>
      </w:r>
      <w:r w:rsidRPr="45870CCB">
        <w:rPr>
          <w:rFonts w:ascii="Arial" w:hAnsi="Arial" w:cs="Arial"/>
        </w:rPr>
        <w:t xml:space="preserve"> appropriate to the role and takes account of School requirements and individual priorities, development goals and career aspirations as discussed in the </w:t>
      </w:r>
      <w:hyperlink r:id="rId14">
        <w:r w:rsidRPr="45870CCB">
          <w:rPr>
            <w:rStyle w:val="Hyperlink"/>
            <w:rFonts w:ascii="Arial" w:hAnsi="Arial" w:cs="Arial"/>
          </w:rPr>
          <w:t>Personal Development Review (PDR).</w:t>
        </w:r>
      </w:hyperlink>
      <w:r w:rsidRPr="45870CCB">
        <w:rPr>
          <w:rStyle w:val="Hyperlink"/>
          <w:rFonts w:ascii="Arial" w:hAnsi="Arial" w:cs="Arial"/>
        </w:rPr>
        <w:t xml:space="preserve"> </w:t>
      </w:r>
    </w:p>
    <w:p w:rsidR="00D57168" w:rsidRPr="00892B1F" w:rsidRDefault="00D57168" w:rsidP="00D57168">
      <w:pPr>
        <w:jc w:val="both"/>
        <w:rPr>
          <w:rFonts w:ascii="Arial" w:hAnsi="Arial" w:cs="Arial"/>
        </w:rPr>
      </w:pPr>
      <w:r w:rsidRPr="00892B1F">
        <w:rPr>
          <w:rFonts w:ascii="Arial" w:hAnsi="Arial" w:cs="Arial"/>
        </w:rPr>
        <w:t>* Under allocation may result from confidential personal circumstances</w:t>
      </w:r>
    </w:p>
    <w:p w:rsidR="00D57168" w:rsidRPr="00D74536" w:rsidRDefault="00D57168" w:rsidP="00D57168">
      <w:pPr>
        <w:pStyle w:val="ListParagraph"/>
        <w:numPr>
          <w:ilvl w:val="0"/>
          <w:numId w:val="6"/>
        </w:numPr>
        <w:jc w:val="both"/>
        <w:rPr>
          <w:rFonts w:ascii="Arial" w:hAnsi="Arial" w:cs="Arial"/>
        </w:rPr>
      </w:pPr>
      <w:r w:rsidRPr="00D74536">
        <w:rPr>
          <w:rFonts w:ascii="Arial" w:hAnsi="Arial" w:cs="Arial"/>
          <w:u w:val="single"/>
        </w:rPr>
        <w:t xml:space="preserve">Activities </w:t>
      </w:r>
    </w:p>
    <w:p w:rsidR="00D57168" w:rsidRDefault="00D57168" w:rsidP="00D57168">
      <w:pPr>
        <w:jc w:val="both"/>
        <w:rPr>
          <w:rFonts w:ascii="Arial" w:hAnsi="Arial" w:cs="Arial"/>
        </w:rPr>
      </w:pPr>
      <w:r>
        <w:rPr>
          <w:rFonts w:ascii="Arial" w:hAnsi="Arial" w:cs="Arial"/>
        </w:rPr>
        <w:t xml:space="preserve">Workload allocation models should capture the following key areas of academic activity as defined in the Academic Profiles: </w:t>
      </w:r>
      <w:r w:rsidRPr="006074D8">
        <w:rPr>
          <w:rFonts w:ascii="Arial" w:hAnsi="Arial" w:cs="Arial"/>
        </w:rPr>
        <w:t>Research</w:t>
      </w:r>
      <w:r>
        <w:rPr>
          <w:rFonts w:ascii="Arial" w:hAnsi="Arial" w:cs="Arial"/>
        </w:rPr>
        <w:t>/</w:t>
      </w:r>
      <w:r w:rsidRPr="006074D8">
        <w:rPr>
          <w:rFonts w:ascii="Arial" w:hAnsi="Arial" w:cs="Arial"/>
        </w:rPr>
        <w:t>Scholarship</w:t>
      </w:r>
      <w:r>
        <w:rPr>
          <w:rFonts w:ascii="Arial" w:hAnsi="Arial" w:cs="Arial"/>
        </w:rPr>
        <w:t xml:space="preserve">, Teaching and </w:t>
      </w:r>
      <w:r w:rsidRPr="006074D8">
        <w:rPr>
          <w:rFonts w:ascii="Arial" w:hAnsi="Arial" w:cs="Arial"/>
        </w:rPr>
        <w:t>Citizenship</w:t>
      </w:r>
      <w:r>
        <w:rPr>
          <w:rFonts w:ascii="Arial" w:hAnsi="Arial" w:cs="Arial"/>
        </w:rPr>
        <w:t xml:space="preserve">. Further detail on the activities in each of these areas are available in the </w:t>
      </w:r>
      <w:hyperlink r:id="rId15" w:history="1">
        <w:r w:rsidRPr="00DE5D76">
          <w:rPr>
            <w:rStyle w:val="Hyperlink"/>
            <w:rFonts w:ascii="Arial" w:hAnsi="Arial" w:cs="Arial"/>
          </w:rPr>
          <w:t>Academic Profiles</w:t>
        </w:r>
      </w:hyperlink>
      <w:r>
        <w:rPr>
          <w:rFonts w:ascii="Arial" w:hAnsi="Arial" w:cs="Arial"/>
        </w:rPr>
        <w:t xml:space="preserve">. </w:t>
      </w:r>
    </w:p>
    <w:p w:rsidR="00D57168" w:rsidRPr="00A548EB" w:rsidRDefault="00D57168" w:rsidP="00D57168">
      <w:pPr>
        <w:pStyle w:val="ListParagraph"/>
        <w:numPr>
          <w:ilvl w:val="0"/>
          <w:numId w:val="6"/>
        </w:numPr>
        <w:spacing w:after="0" w:line="240" w:lineRule="auto"/>
        <w:jc w:val="both"/>
        <w:rPr>
          <w:rFonts w:ascii="Arial" w:hAnsi="Arial" w:cs="Arial"/>
          <w:u w:val="single"/>
        </w:rPr>
      </w:pPr>
      <w:r w:rsidRPr="00A548EB">
        <w:rPr>
          <w:rFonts w:ascii="Arial" w:hAnsi="Arial" w:cs="Arial"/>
          <w:u w:val="single"/>
        </w:rPr>
        <w:lastRenderedPageBreak/>
        <w:t>Time Allocation</w:t>
      </w:r>
    </w:p>
    <w:p w:rsidR="00D57168" w:rsidRDefault="00D57168" w:rsidP="00D57168">
      <w:pPr>
        <w:pStyle w:val="NoSpacing"/>
      </w:pPr>
    </w:p>
    <w:p w:rsidR="00D57168" w:rsidRDefault="00D57168" w:rsidP="00D57168">
      <w:pPr>
        <w:jc w:val="both"/>
        <w:rPr>
          <w:rFonts w:ascii="Arial" w:hAnsi="Arial" w:cs="Arial"/>
        </w:rPr>
      </w:pPr>
      <w:r>
        <w:rPr>
          <w:rFonts w:ascii="Arial" w:hAnsi="Arial" w:cs="Arial"/>
        </w:rPr>
        <w:t xml:space="preserve">5.1 Institutional </w:t>
      </w:r>
    </w:p>
    <w:p w:rsidR="00D57168" w:rsidRPr="000C69D8" w:rsidRDefault="00D57168" w:rsidP="00D57168">
      <w:pPr>
        <w:jc w:val="both"/>
        <w:rPr>
          <w:rFonts w:ascii="Arial" w:hAnsi="Arial" w:cs="Arial"/>
        </w:rPr>
      </w:pPr>
      <w:r w:rsidRPr="000C69D8">
        <w:rPr>
          <w:rFonts w:ascii="Arial" w:hAnsi="Arial" w:cs="Arial"/>
        </w:rPr>
        <w:t>The</w:t>
      </w:r>
      <w:r>
        <w:rPr>
          <w:rFonts w:ascii="Arial" w:hAnsi="Arial" w:cs="Arial"/>
        </w:rPr>
        <w:t xml:space="preserve">re are a number of roles which are broadly common </w:t>
      </w:r>
      <w:r w:rsidRPr="000C69D8">
        <w:rPr>
          <w:rFonts w:ascii="Arial" w:hAnsi="Arial" w:cs="Arial"/>
        </w:rPr>
        <w:t xml:space="preserve">across </w:t>
      </w:r>
      <w:r>
        <w:rPr>
          <w:rFonts w:ascii="Arial" w:hAnsi="Arial" w:cs="Arial"/>
        </w:rPr>
        <w:t xml:space="preserve">the institution, the roles and time allocation ranges are included at Appendix 1. It is important to note that these are provided by way of exemplar and that the actual time taken to carry out the role will depend on a number of variables, for example, size of the School, existing School leadership structure, whether there is more than one postholder etc. </w:t>
      </w:r>
    </w:p>
    <w:p w:rsidR="00D57168" w:rsidRDefault="00D57168" w:rsidP="00D57168">
      <w:pPr>
        <w:jc w:val="both"/>
        <w:rPr>
          <w:rFonts w:ascii="Arial" w:hAnsi="Arial" w:cs="Arial"/>
        </w:rPr>
      </w:pPr>
      <w:r>
        <w:rPr>
          <w:rFonts w:ascii="Arial" w:hAnsi="Arial" w:cs="Arial"/>
        </w:rPr>
        <w:t xml:space="preserve">5.2 Faculty </w:t>
      </w:r>
    </w:p>
    <w:p w:rsidR="00D57168" w:rsidRPr="000C69D8" w:rsidRDefault="00D57168" w:rsidP="00D57168">
      <w:pPr>
        <w:jc w:val="both"/>
        <w:rPr>
          <w:rFonts w:ascii="Arial" w:hAnsi="Arial" w:cs="Arial"/>
        </w:rPr>
      </w:pPr>
      <w:r w:rsidRPr="13FD1896">
        <w:rPr>
          <w:rFonts w:ascii="Arial" w:hAnsi="Arial" w:cs="Arial"/>
        </w:rPr>
        <w:t>It is proposed that Faculty Executive Boards (FEBs) agree time allocation for activities that are common across the Faculty as required, for example, time for teaching preparation and delivery, assessment activities, curriculum development etc. taking into account student numbers.  Further specific adjustments may be made</w:t>
      </w:r>
      <w:r>
        <w:rPr>
          <w:rFonts w:ascii="Arial" w:hAnsi="Arial" w:cs="Arial"/>
        </w:rPr>
        <w:t xml:space="preserve"> by</w:t>
      </w:r>
      <w:r w:rsidRPr="13FD1896">
        <w:rPr>
          <w:rFonts w:ascii="Arial" w:hAnsi="Arial" w:cs="Arial"/>
        </w:rPr>
        <w:t xml:space="preserve"> </w:t>
      </w:r>
      <w:r>
        <w:rPr>
          <w:rFonts w:ascii="Arial" w:hAnsi="Arial" w:cs="Arial"/>
        </w:rPr>
        <w:t xml:space="preserve">the </w:t>
      </w:r>
      <w:r w:rsidRPr="13FD1896">
        <w:rPr>
          <w:rFonts w:ascii="Arial" w:hAnsi="Arial" w:cs="Arial"/>
        </w:rPr>
        <w:t>School S</w:t>
      </w:r>
      <w:r>
        <w:rPr>
          <w:rFonts w:ascii="Arial" w:hAnsi="Arial" w:cs="Arial"/>
        </w:rPr>
        <w:t xml:space="preserve">enior </w:t>
      </w:r>
      <w:r w:rsidRPr="13FD1896">
        <w:rPr>
          <w:rFonts w:ascii="Arial" w:hAnsi="Arial" w:cs="Arial"/>
        </w:rPr>
        <w:t>M</w:t>
      </w:r>
      <w:r>
        <w:rPr>
          <w:rFonts w:ascii="Arial" w:hAnsi="Arial" w:cs="Arial"/>
        </w:rPr>
        <w:t xml:space="preserve">anagement </w:t>
      </w:r>
      <w:r w:rsidRPr="13FD1896">
        <w:rPr>
          <w:rFonts w:ascii="Arial" w:hAnsi="Arial" w:cs="Arial"/>
        </w:rPr>
        <w:t>T</w:t>
      </w:r>
      <w:r>
        <w:rPr>
          <w:rFonts w:ascii="Arial" w:hAnsi="Arial" w:cs="Arial"/>
        </w:rPr>
        <w:t>eam</w:t>
      </w:r>
      <w:r w:rsidRPr="13FD1896">
        <w:rPr>
          <w:rFonts w:ascii="Arial" w:hAnsi="Arial" w:cs="Arial"/>
        </w:rPr>
        <w:t>.</w:t>
      </w:r>
    </w:p>
    <w:p w:rsidR="00D57168" w:rsidRPr="000811B6" w:rsidRDefault="00D57168" w:rsidP="00D57168">
      <w:pPr>
        <w:pStyle w:val="ListParagraph"/>
        <w:numPr>
          <w:ilvl w:val="0"/>
          <w:numId w:val="6"/>
        </w:numPr>
        <w:spacing w:after="0" w:line="240" w:lineRule="auto"/>
        <w:jc w:val="both"/>
        <w:rPr>
          <w:rFonts w:ascii="Arial" w:hAnsi="Arial" w:cs="Arial"/>
          <w:u w:val="single"/>
        </w:rPr>
      </w:pPr>
      <w:r w:rsidRPr="000811B6">
        <w:rPr>
          <w:rFonts w:ascii="Arial" w:hAnsi="Arial" w:cs="Arial"/>
          <w:u w:val="single"/>
        </w:rPr>
        <w:t xml:space="preserve">Impact of COVID-19 </w:t>
      </w:r>
    </w:p>
    <w:p w:rsidR="00D57168" w:rsidRPr="000811B6" w:rsidRDefault="00D57168" w:rsidP="00D57168">
      <w:pPr>
        <w:pStyle w:val="Default"/>
        <w:ind w:left="360"/>
        <w:rPr>
          <w:color w:val="auto"/>
          <w:sz w:val="22"/>
          <w:szCs w:val="22"/>
          <w:u w:val="single"/>
        </w:rPr>
      </w:pPr>
    </w:p>
    <w:p w:rsidR="00D57168" w:rsidRPr="000811B6" w:rsidRDefault="00D57168" w:rsidP="00D57168">
      <w:pPr>
        <w:jc w:val="both"/>
        <w:rPr>
          <w:rFonts w:ascii="Arial" w:hAnsi="Arial" w:cs="Arial"/>
        </w:rPr>
      </w:pPr>
      <w:r w:rsidRPr="000811B6">
        <w:rPr>
          <w:rFonts w:ascii="Arial" w:hAnsi="Arial" w:cs="Arial"/>
        </w:rPr>
        <w:t xml:space="preserve">6.1 Current Priorities </w:t>
      </w:r>
    </w:p>
    <w:p w:rsidR="00D57168" w:rsidRDefault="00D57168" w:rsidP="00D57168">
      <w:pPr>
        <w:pStyle w:val="Default"/>
        <w:jc w:val="both"/>
        <w:rPr>
          <w:color w:val="auto"/>
          <w:sz w:val="22"/>
          <w:szCs w:val="22"/>
        </w:rPr>
      </w:pPr>
      <w:r w:rsidRPr="12289BBC">
        <w:rPr>
          <w:color w:val="auto"/>
          <w:sz w:val="22"/>
          <w:szCs w:val="22"/>
        </w:rPr>
        <w:t xml:space="preserve">In response to the COVID-19 pandemic the University is transitioning to a Connected Learning model from September 2020. The preparation of high quality education and offering the best possible student experience for the first semester in the Academic year 2020/2021, are a priority for all staff over the summer months. As a result, some of the Operational Guidelines in Section 7 will not apply at this time. For example, IV. relates to assumed time allocation; it is expected that the time allocation for teaching will be significantly higher as we prepare for Connected Learning. While teaching is the priority, </w:t>
      </w:r>
      <w:r w:rsidRPr="00717C60">
        <w:rPr>
          <w:color w:val="auto"/>
          <w:sz w:val="22"/>
          <w:szCs w:val="22"/>
        </w:rPr>
        <w:t>it is also recognised that research activities still need to continue, particularly with regard to meeting obligations to funders and meeting other types of deadlines</w:t>
      </w:r>
      <w:r>
        <w:rPr>
          <w:color w:val="auto"/>
          <w:sz w:val="22"/>
          <w:szCs w:val="22"/>
        </w:rPr>
        <w:t>.</w:t>
      </w:r>
    </w:p>
    <w:p w:rsidR="00D57168" w:rsidRPr="000811B6" w:rsidRDefault="00D57168" w:rsidP="00D57168">
      <w:pPr>
        <w:pStyle w:val="Default"/>
        <w:jc w:val="both"/>
        <w:rPr>
          <w:color w:val="auto"/>
          <w:sz w:val="22"/>
          <w:szCs w:val="22"/>
        </w:rPr>
      </w:pPr>
    </w:p>
    <w:p w:rsidR="00D57168" w:rsidRPr="000811B6" w:rsidRDefault="00D57168" w:rsidP="00D57168">
      <w:pPr>
        <w:jc w:val="both"/>
        <w:rPr>
          <w:rFonts w:ascii="Arial" w:hAnsi="Arial" w:cs="Arial"/>
        </w:rPr>
      </w:pPr>
      <w:r w:rsidRPr="000811B6">
        <w:rPr>
          <w:rFonts w:ascii="Arial" w:hAnsi="Arial" w:cs="Arial"/>
        </w:rPr>
        <w:t>6.2 Head of School Responsibilities</w:t>
      </w:r>
    </w:p>
    <w:p w:rsidR="00A96E0C" w:rsidRDefault="00D57168" w:rsidP="00D57168">
      <w:pPr>
        <w:pStyle w:val="Default"/>
        <w:jc w:val="both"/>
        <w:rPr>
          <w:color w:val="auto"/>
          <w:sz w:val="22"/>
          <w:szCs w:val="22"/>
        </w:rPr>
      </w:pPr>
      <w:r w:rsidRPr="00717C60">
        <w:rPr>
          <w:color w:val="auto"/>
          <w:sz w:val="22"/>
          <w:szCs w:val="22"/>
        </w:rPr>
        <w:t>During this transitionary period where staff will be concerned over work pressures, Heads of School are responsible for working with their leadership teams to identify priorities which are communicated to staff,</w:t>
      </w:r>
      <w:r w:rsidRPr="005C6ACB">
        <w:rPr>
          <w:color w:val="auto"/>
          <w:sz w:val="22"/>
          <w:szCs w:val="22"/>
        </w:rPr>
        <w:t xml:space="preserve"> while bein</w:t>
      </w:r>
      <w:r w:rsidRPr="00E16531">
        <w:rPr>
          <w:color w:val="auto"/>
          <w:sz w:val="22"/>
          <w:szCs w:val="22"/>
        </w:rPr>
        <w:t xml:space="preserve">g mindful of individual circumstances and the need to support staff health and wellbeing. They </w:t>
      </w:r>
      <w:r w:rsidRPr="002449E8">
        <w:rPr>
          <w:color w:val="auto"/>
          <w:sz w:val="22"/>
          <w:szCs w:val="22"/>
        </w:rPr>
        <w:t>should consider these pressures and what mitigations might be put in place, identifying team members might face particular challenges and need additional support and flexibility, including support to postpone particular work streams</w:t>
      </w:r>
      <w:r w:rsidRPr="00717C60">
        <w:rPr>
          <w:color w:val="auto"/>
          <w:sz w:val="22"/>
          <w:szCs w:val="22"/>
        </w:rPr>
        <w:t xml:space="preserve"> without any detriment. </w:t>
      </w:r>
    </w:p>
    <w:p w:rsidR="00A96E0C" w:rsidRDefault="00A96E0C" w:rsidP="00D57168">
      <w:pPr>
        <w:pStyle w:val="Default"/>
        <w:jc w:val="both"/>
        <w:rPr>
          <w:color w:val="auto"/>
          <w:sz w:val="22"/>
          <w:szCs w:val="22"/>
        </w:rPr>
      </w:pPr>
    </w:p>
    <w:p w:rsidR="00D57168" w:rsidRPr="00717C60" w:rsidRDefault="00D57168" w:rsidP="00D57168">
      <w:pPr>
        <w:pStyle w:val="Default"/>
        <w:jc w:val="both"/>
        <w:rPr>
          <w:color w:val="auto"/>
          <w:sz w:val="22"/>
          <w:szCs w:val="22"/>
        </w:rPr>
      </w:pPr>
      <w:r w:rsidRPr="00717C60">
        <w:rPr>
          <w:color w:val="auto"/>
          <w:sz w:val="22"/>
          <w:szCs w:val="22"/>
        </w:rPr>
        <w:t xml:space="preserve">The University recognises that future academic progression decisions will take into account the work set for this year and will allow managers to consider the impact of the pandemic particularly on those with caring responsibilities, </w:t>
      </w:r>
      <w:r w:rsidRPr="00717C60">
        <w:rPr>
          <w:sz w:val="22"/>
          <w:szCs w:val="22"/>
        </w:rPr>
        <w:t>as well as acknowledging any special efforts that staff have made to address challenges that have specifically arisen as a result of the crisis</w:t>
      </w:r>
      <w:r w:rsidRPr="00717C60">
        <w:rPr>
          <w:color w:val="auto"/>
          <w:sz w:val="22"/>
          <w:szCs w:val="22"/>
        </w:rPr>
        <w:t>.</w:t>
      </w:r>
    </w:p>
    <w:p w:rsidR="00D57168" w:rsidRDefault="00D57168" w:rsidP="00D57168">
      <w:pPr>
        <w:pStyle w:val="Default"/>
        <w:jc w:val="both"/>
        <w:rPr>
          <w:color w:val="auto"/>
          <w:sz w:val="22"/>
          <w:szCs w:val="22"/>
        </w:rPr>
      </w:pPr>
    </w:p>
    <w:p w:rsidR="00D57168" w:rsidRPr="007C303C" w:rsidRDefault="00D57168" w:rsidP="00D57168">
      <w:pPr>
        <w:pStyle w:val="Default"/>
        <w:jc w:val="both"/>
        <w:rPr>
          <w:color w:val="auto"/>
          <w:sz w:val="22"/>
          <w:szCs w:val="22"/>
        </w:rPr>
      </w:pPr>
      <w:r>
        <w:rPr>
          <w:color w:val="auto"/>
          <w:sz w:val="22"/>
          <w:szCs w:val="22"/>
        </w:rPr>
        <w:t xml:space="preserve">It is acknowledged that during this transition period colleagues, have and will continue mobilise, to ensure that we deliver Connected Learning and the best possible student experience. There is a unique opportunity at this time for colleagues across the University to collaborate, to play to each other’s strengths, sharing best practice </w:t>
      </w:r>
      <w:r>
        <w:rPr>
          <w:color w:val="auto"/>
          <w:sz w:val="22"/>
          <w:szCs w:val="22"/>
        </w:rPr>
        <w:lastRenderedPageBreak/>
        <w:t xml:space="preserve">internally and externally and to eliminate inefficiencies in the way that we work, enabling us to successfully address our priorities. </w:t>
      </w:r>
    </w:p>
    <w:p w:rsidR="00D57168" w:rsidRDefault="00D57168" w:rsidP="00D57168">
      <w:pPr>
        <w:pStyle w:val="Default"/>
        <w:jc w:val="both"/>
        <w:rPr>
          <w:u w:val="single"/>
        </w:rPr>
      </w:pPr>
    </w:p>
    <w:p w:rsidR="00D57168" w:rsidRDefault="00D57168" w:rsidP="00D57168">
      <w:pPr>
        <w:pStyle w:val="ListParagraph"/>
        <w:numPr>
          <w:ilvl w:val="0"/>
          <w:numId w:val="6"/>
        </w:numPr>
        <w:spacing w:after="0" w:line="240" w:lineRule="auto"/>
        <w:jc w:val="both"/>
        <w:rPr>
          <w:rFonts w:ascii="Arial" w:hAnsi="Arial" w:cs="Arial"/>
          <w:u w:val="single"/>
        </w:rPr>
      </w:pPr>
      <w:r w:rsidRPr="00A548EB">
        <w:rPr>
          <w:rFonts w:ascii="Arial" w:hAnsi="Arial" w:cs="Arial"/>
          <w:u w:val="single"/>
        </w:rPr>
        <w:t>Operational Guidelines</w:t>
      </w:r>
      <w:r>
        <w:rPr>
          <w:rFonts w:ascii="Arial" w:hAnsi="Arial" w:cs="Arial"/>
          <w:u w:val="single"/>
        </w:rPr>
        <w:t xml:space="preserve"> </w:t>
      </w:r>
      <w:r w:rsidRPr="00003803">
        <w:rPr>
          <w:rFonts w:ascii="Arial" w:hAnsi="Arial" w:cs="Arial"/>
          <w:u w:val="single"/>
        </w:rPr>
        <w:t>(</w:t>
      </w:r>
      <w:r>
        <w:rPr>
          <w:rFonts w:ascii="Arial" w:hAnsi="Arial" w:cs="Arial"/>
          <w:u w:val="single"/>
        </w:rPr>
        <w:t xml:space="preserve">fully </w:t>
      </w:r>
      <w:r w:rsidRPr="00003803">
        <w:rPr>
          <w:rFonts w:ascii="Arial" w:hAnsi="Arial" w:cs="Arial"/>
          <w:u w:val="single"/>
        </w:rPr>
        <w:t>effective 2021/22)</w:t>
      </w:r>
    </w:p>
    <w:p w:rsidR="00D57168" w:rsidRDefault="00D57168" w:rsidP="00D57168">
      <w:pPr>
        <w:pStyle w:val="ListParagraph"/>
        <w:spacing w:after="0" w:line="240" w:lineRule="auto"/>
        <w:ind w:left="360"/>
        <w:jc w:val="both"/>
        <w:rPr>
          <w:rFonts w:ascii="Arial" w:hAnsi="Arial" w:cs="Arial"/>
          <w:u w:val="single"/>
        </w:rPr>
      </w:pPr>
    </w:p>
    <w:p w:rsidR="00D57168" w:rsidRDefault="00D57168" w:rsidP="00D57168">
      <w:pPr>
        <w:pStyle w:val="ListParagraph"/>
        <w:numPr>
          <w:ilvl w:val="0"/>
          <w:numId w:val="8"/>
        </w:numPr>
        <w:jc w:val="both"/>
        <w:rPr>
          <w:rFonts w:ascii="Arial" w:hAnsi="Arial" w:cs="Arial"/>
        </w:rPr>
      </w:pPr>
      <w:r w:rsidRPr="00D74536">
        <w:rPr>
          <w:rFonts w:ascii="Arial" w:hAnsi="Arial" w:cs="Arial"/>
        </w:rPr>
        <w:t>Managing workload allocations provides a means of capturing data to provide information which will aid decision making on issues such as workforce planning, e.g. understanding current staffing needs, determining future staffing needs, identifying any existing staffing gaps or gaps between the present and future needs</w:t>
      </w:r>
      <w:r>
        <w:rPr>
          <w:rFonts w:ascii="Arial" w:hAnsi="Arial" w:cs="Arial"/>
        </w:rPr>
        <w:t xml:space="preserve">, identifying </w:t>
      </w:r>
      <w:r w:rsidRPr="009D3663">
        <w:rPr>
          <w:rFonts w:ascii="Arial" w:hAnsi="Arial" w:cs="Arial"/>
        </w:rPr>
        <w:t>inefficiencies</w:t>
      </w:r>
      <w:r>
        <w:rPr>
          <w:rFonts w:ascii="Arial" w:hAnsi="Arial" w:cs="Arial"/>
        </w:rPr>
        <w:t xml:space="preserve"> and improving</w:t>
      </w:r>
      <w:r w:rsidRPr="009D3663">
        <w:rPr>
          <w:rFonts w:ascii="Arial" w:hAnsi="Arial" w:cs="Arial"/>
        </w:rPr>
        <w:t xml:space="preserve"> productivity and</w:t>
      </w:r>
      <w:r>
        <w:rPr>
          <w:rFonts w:ascii="Arial" w:hAnsi="Arial" w:cs="Arial"/>
        </w:rPr>
        <w:t xml:space="preserve"> the</w:t>
      </w:r>
      <w:r w:rsidRPr="009D3663">
        <w:rPr>
          <w:rFonts w:ascii="Arial" w:hAnsi="Arial" w:cs="Arial"/>
        </w:rPr>
        <w:t xml:space="preserve"> quality </w:t>
      </w:r>
      <w:r>
        <w:rPr>
          <w:rFonts w:ascii="Arial" w:hAnsi="Arial" w:cs="Arial"/>
        </w:rPr>
        <w:t xml:space="preserve">of </w:t>
      </w:r>
      <w:r w:rsidRPr="009D3663">
        <w:rPr>
          <w:rFonts w:ascii="Arial" w:hAnsi="Arial" w:cs="Arial"/>
        </w:rPr>
        <w:t>outputs</w:t>
      </w:r>
      <w:r>
        <w:rPr>
          <w:rFonts w:ascii="Arial" w:hAnsi="Arial" w:cs="Arial"/>
        </w:rPr>
        <w:t>.</w:t>
      </w:r>
      <w:r w:rsidRPr="009D3663">
        <w:rPr>
          <w:rFonts w:ascii="Arial" w:hAnsi="Arial" w:cs="Arial"/>
        </w:rPr>
        <w:t xml:space="preserve"> </w:t>
      </w:r>
      <w:r>
        <w:rPr>
          <w:rFonts w:ascii="Arial" w:hAnsi="Arial" w:cs="Arial"/>
        </w:rPr>
        <w:t xml:space="preserve">In order to support these aims it is recommended that workload allocation models are prospective. </w:t>
      </w:r>
    </w:p>
    <w:p w:rsidR="00D57168" w:rsidRPr="006B4D79" w:rsidRDefault="00D57168" w:rsidP="00D57168">
      <w:pPr>
        <w:pStyle w:val="ListParagraph"/>
        <w:jc w:val="both"/>
        <w:rPr>
          <w:rFonts w:ascii="Arial" w:eastAsiaTheme="minorEastAsia" w:hAnsi="Arial" w:cs="Arial"/>
          <w:sz w:val="16"/>
          <w:szCs w:val="16"/>
        </w:rPr>
      </w:pPr>
      <w:r>
        <w:rPr>
          <w:rFonts w:ascii="Arial" w:eastAsiaTheme="minorEastAsia" w:hAnsi="Arial" w:cs="Arial"/>
          <w:sz w:val="16"/>
          <w:szCs w:val="16"/>
        </w:rPr>
        <w:t xml:space="preserve">    </w:t>
      </w:r>
    </w:p>
    <w:p w:rsidR="00D57168" w:rsidRDefault="00D57168" w:rsidP="00D57168">
      <w:pPr>
        <w:pStyle w:val="ListParagraph"/>
        <w:numPr>
          <w:ilvl w:val="0"/>
          <w:numId w:val="8"/>
        </w:numPr>
        <w:jc w:val="both"/>
        <w:rPr>
          <w:rFonts w:ascii="Arial" w:hAnsi="Arial" w:cs="Arial"/>
        </w:rPr>
      </w:pPr>
      <w:r w:rsidRPr="00116B76">
        <w:rPr>
          <w:rFonts w:ascii="Arial" w:hAnsi="Arial" w:cs="Arial"/>
        </w:rPr>
        <w:t>The University recognises academic staff do not have defined working hours and that this arrangement provides flexibility</w:t>
      </w:r>
      <w:r>
        <w:rPr>
          <w:rFonts w:ascii="Arial" w:hAnsi="Arial" w:cs="Arial"/>
        </w:rPr>
        <w:t>,</w:t>
      </w:r>
      <w:r w:rsidRPr="00116B76">
        <w:rPr>
          <w:rFonts w:ascii="Arial" w:hAnsi="Arial" w:cs="Arial"/>
        </w:rPr>
        <w:t xml:space="preserve"> which benefits individual members of staff, students and the University as a whole. </w:t>
      </w:r>
    </w:p>
    <w:p w:rsidR="00D57168" w:rsidRPr="006B4D79" w:rsidRDefault="00D57168" w:rsidP="00D57168">
      <w:pPr>
        <w:pStyle w:val="ListParagraph"/>
        <w:jc w:val="both"/>
        <w:rPr>
          <w:rFonts w:ascii="Arial" w:eastAsiaTheme="minorEastAsia" w:hAnsi="Arial" w:cs="Arial"/>
          <w:sz w:val="16"/>
          <w:szCs w:val="16"/>
        </w:rPr>
      </w:pPr>
    </w:p>
    <w:p w:rsidR="00D57168" w:rsidRDefault="00D57168" w:rsidP="00D57168">
      <w:pPr>
        <w:pStyle w:val="ListParagraph"/>
        <w:numPr>
          <w:ilvl w:val="0"/>
          <w:numId w:val="8"/>
        </w:numPr>
        <w:jc w:val="both"/>
        <w:rPr>
          <w:rFonts w:ascii="Arial" w:hAnsi="Arial" w:cs="Arial"/>
        </w:rPr>
      </w:pPr>
      <w:r w:rsidRPr="00116B76">
        <w:rPr>
          <w:rFonts w:ascii="Arial" w:hAnsi="Arial" w:cs="Arial"/>
        </w:rPr>
        <w:t xml:space="preserve">For the purposes of workload allocation an hour-based model </w:t>
      </w:r>
      <w:r>
        <w:rPr>
          <w:rFonts w:ascii="Arial" w:hAnsi="Arial" w:cs="Arial"/>
        </w:rPr>
        <w:t xml:space="preserve">should be used with a </w:t>
      </w:r>
      <w:r w:rsidRPr="00116B76">
        <w:rPr>
          <w:rFonts w:ascii="Arial" w:hAnsi="Arial" w:cs="Arial"/>
        </w:rPr>
        <w:t xml:space="preserve">notional </w:t>
      </w:r>
      <w:r>
        <w:rPr>
          <w:rFonts w:ascii="Arial" w:hAnsi="Arial" w:cs="Arial"/>
        </w:rPr>
        <w:t xml:space="preserve">figure of </w:t>
      </w:r>
      <w:r w:rsidRPr="00116B76">
        <w:rPr>
          <w:rFonts w:ascii="Arial" w:hAnsi="Arial" w:cs="Arial"/>
        </w:rPr>
        <w:t>1628 hours (220 working days x 7.4 hours per day) for research/scholarship, teaching</w:t>
      </w:r>
      <w:r>
        <w:rPr>
          <w:rFonts w:ascii="Arial" w:hAnsi="Arial" w:cs="Arial"/>
        </w:rPr>
        <w:t xml:space="preserve"> </w:t>
      </w:r>
      <w:r w:rsidRPr="00116B76">
        <w:rPr>
          <w:rFonts w:ascii="Arial" w:hAnsi="Arial" w:cs="Arial"/>
        </w:rPr>
        <w:t>and citizenship, representing the total hours for a full-time member of staff, as the baseline. The total number of hours will be adjusted for those on part-time contracts</w:t>
      </w:r>
      <w:r>
        <w:rPr>
          <w:rFonts w:ascii="Arial" w:hAnsi="Arial" w:cs="Arial"/>
        </w:rPr>
        <w:t xml:space="preserve"> </w:t>
      </w:r>
      <w:r w:rsidRPr="00D03BFE">
        <w:rPr>
          <w:rFonts w:ascii="Arial" w:hAnsi="Arial" w:cs="Arial"/>
        </w:rPr>
        <w:t>or whose University contracted commitment is less than full-time, for example, clinical academics</w:t>
      </w:r>
      <w:r w:rsidRPr="00116B76">
        <w:rPr>
          <w:rFonts w:ascii="Arial" w:hAnsi="Arial" w:cs="Arial"/>
        </w:rPr>
        <w:t>.</w:t>
      </w:r>
    </w:p>
    <w:p w:rsidR="00D57168" w:rsidRPr="006B4D79" w:rsidRDefault="00D57168" w:rsidP="00D57168">
      <w:pPr>
        <w:pStyle w:val="ListParagraph"/>
        <w:jc w:val="both"/>
        <w:rPr>
          <w:rFonts w:ascii="Arial" w:eastAsiaTheme="minorEastAsia" w:hAnsi="Arial" w:cs="Arial"/>
          <w:sz w:val="16"/>
          <w:szCs w:val="16"/>
        </w:rPr>
      </w:pPr>
    </w:p>
    <w:p w:rsidR="00D57168" w:rsidRDefault="00D57168" w:rsidP="00D57168">
      <w:pPr>
        <w:pStyle w:val="ListParagraph"/>
        <w:numPr>
          <w:ilvl w:val="0"/>
          <w:numId w:val="8"/>
        </w:numPr>
        <w:jc w:val="both"/>
        <w:rPr>
          <w:rFonts w:ascii="Arial" w:hAnsi="Arial" w:cs="Arial"/>
        </w:rPr>
      </w:pPr>
      <w:r w:rsidRPr="13FD1896">
        <w:rPr>
          <w:rFonts w:ascii="Arial" w:hAnsi="Arial" w:cs="Arial"/>
        </w:rPr>
        <w:t>A working general assumption of time allocation as follows*</w:t>
      </w:r>
      <w:r w:rsidRPr="00902CD4">
        <w:rPr>
          <w:rFonts w:ascii="Arial" w:hAnsi="Arial" w:cs="Arial"/>
        </w:rPr>
        <w:t>:</w:t>
      </w:r>
      <w:r w:rsidRPr="13FD1896">
        <w:rPr>
          <w:rFonts w:ascii="Arial" w:hAnsi="Arial" w:cs="Arial"/>
        </w:rPr>
        <w:t xml:space="preserve"> </w:t>
      </w:r>
    </w:p>
    <w:tbl>
      <w:tblPr>
        <w:tblStyle w:val="TableGrid"/>
        <w:tblW w:w="0" w:type="auto"/>
        <w:tblInd w:w="720" w:type="dxa"/>
        <w:tblLayout w:type="fixed"/>
        <w:tblLook w:val="04A0" w:firstRow="1" w:lastRow="0" w:firstColumn="1" w:lastColumn="0" w:noHBand="0" w:noVBand="1"/>
      </w:tblPr>
      <w:tblGrid>
        <w:gridCol w:w="2819"/>
        <w:gridCol w:w="1978"/>
        <w:gridCol w:w="1818"/>
        <w:gridCol w:w="1681"/>
      </w:tblGrid>
      <w:tr w:rsidR="00D57168" w:rsidTr="00573578">
        <w:tc>
          <w:tcPr>
            <w:tcW w:w="2819" w:type="dxa"/>
          </w:tcPr>
          <w:p w:rsidR="00D57168" w:rsidRPr="008B74FB" w:rsidRDefault="00D57168" w:rsidP="00573578">
            <w:pPr>
              <w:rPr>
                <w:rFonts w:ascii="Arial" w:hAnsi="Arial" w:cs="Arial"/>
                <w:b/>
              </w:rPr>
            </w:pPr>
            <w:r>
              <w:rPr>
                <w:rFonts w:ascii="Arial" w:hAnsi="Arial" w:cs="Arial"/>
                <w:b/>
              </w:rPr>
              <w:t xml:space="preserve">Academic Career </w:t>
            </w:r>
            <w:r w:rsidRPr="008B74FB">
              <w:rPr>
                <w:rFonts w:ascii="Arial" w:hAnsi="Arial" w:cs="Arial"/>
                <w:b/>
              </w:rPr>
              <w:t>Pathway</w:t>
            </w:r>
          </w:p>
        </w:tc>
        <w:tc>
          <w:tcPr>
            <w:tcW w:w="1978" w:type="dxa"/>
          </w:tcPr>
          <w:p w:rsidR="00D57168" w:rsidRDefault="00D57168" w:rsidP="00573578">
            <w:pPr>
              <w:jc w:val="both"/>
              <w:rPr>
                <w:rFonts w:ascii="Arial" w:hAnsi="Arial" w:cs="Arial"/>
                <w:b/>
              </w:rPr>
            </w:pPr>
            <w:r>
              <w:rPr>
                <w:rFonts w:ascii="Arial" w:hAnsi="Arial" w:cs="Arial"/>
                <w:b/>
              </w:rPr>
              <w:t>Research (R&amp;E)</w:t>
            </w:r>
          </w:p>
          <w:p w:rsidR="00D57168" w:rsidRPr="008B74FB" w:rsidRDefault="00D57168" w:rsidP="00573578">
            <w:pPr>
              <w:jc w:val="both"/>
              <w:rPr>
                <w:rFonts w:ascii="Arial" w:hAnsi="Arial" w:cs="Arial"/>
                <w:b/>
              </w:rPr>
            </w:pPr>
            <w:r>
              <w:rPr>
                <w:rFonts w:ascii="Arial" w:hAnsi="Arial" w:cs="Arial"/>
                <w:b/>
              </w:rPr>
              <w:t>Scholarship (E)</w:t>
            </w:r>
          </w:p>
        </w:tc>
        <w:tc>
          <w:tcPr>
            <w:tcW w:w="1818" w:type="dxa"/>
          </w:tcPr>
          <w:p w:rsidR="00D57168" w:rsidRPr="008B74FB" w:rsidRDefault="00D57168" w:rsidP="00573578">
            <w:pPr>
              <w:jc w:val="both"/>
              <w:rPr>
                <w:rFonts w:ascii="Arial" w:hAnsi="Arial" w:cs="Arial"/>
                <w:b/>
              </w:rPr>
            </w:pPr>
            <w:r>
              <w:rPr>
                <w:rFonts w:ascii="Arial" w:hAnsi="Arial" w:cs="Arial"/>
                <w:b/>
              </w:rPr>
              <w:t>Teaching</w:t>
            </w:r>
          </w:p>
        </w:tc>
        <w:tc>
          <w:tcPr>
            <w:tcW w:w="1681" w:type="dxa"/>
          </w:tcPr>
          <w:p w:rsidR="00D57168" w:rsidRPr="008B74FB" w:rsidRDefault="00D57168" w:rsidP="00573578">
            <w:pPr>
              <w:jc w:val="both"/>
              <w:rPr>
                <w:rFonts w:ascii="Arial" w:hAnsi="Arial" w:cs="Arial"/>
                <w:b/>
              </w:rPr>
            </w:pPr>
            <w:r w:rsidRPr="008B74FB">
              <w:rPr>
                <w:rFonts w:ascii="Arial" w:hAnsi="Arial" w:cs="Arial"/>
                <w:b/>
              </w:rPr>
              <w:t>Citizenship</w:t>
            </w:r>
          </w:p>
        </w:tc>
      </w:tr>
      <w:tr w:rsidR="00D57168" w:rsidTr="00573578">
        <w:tc>
          <w:tcPr>
            <w:tcW w:w="2819" w:type="dxa"/>
          </w:tcPr>
          <w:p w:rsidR="00D57168" w:rsidRDefault="00D57168" w:rsidP="00573578">
            <w:pPr>
              <w:rPr>
                <w:rFonts w:ascii="Arial" w:hAnsi="Arial" w:cs="Arial"/>
              </w:rPr>
            </w:pPr>
            <w:r>
              <w:rPr>
                <w:rFonts w:ascii="Arial" w:hAnsi="Arial" w:cs="Arial"/>
              </w:rPr>
              <w:t>Research &amp; Education</w:t>
            </w:r>
          </w:p>
        </w:tc>
        <w:tc>
          <w:tcPr>
            <w:tcW w:w="1978" w:type="dxa"/>
          </w:tcPr>
          <w:p w:rsidR="00D57168" w:rsidRDefault="00D57168" w:rsidP="00573578">
            <w:pPr>
              <w:jc w:val="both"/>
              <w:rPr>
                <w:rFonts w:ascii="Arial" w:hAnsi="Arial" w:cs="Arial"/>
              </w:rPr>
            </w:pPr>
            <w:r>
              <w:rPr>
                <w:rFonts w:ascii="Arial" w:hAnsi="Arial" w:cs="Arial"/>
              </w:rPr>
              <w:t>40%</w:t>
            </w:r>
          </w:p>
        </w:tc>
        <w:tc>
          <w:tcPr>
            <w:tcW w:w="1818" w:type="dxa"/>
          </w:tcPr>
          <w:p w:rsidR="00D57168" w:rsidRDefault="00D57168" w:rsidP="00573578">
            <w:pPr>
              <w:jc w:val="both"/>
              <w:rPr>
                <w:rFonts w:ascii="Arial" w:hAnsi="Arial" w:cs="Arial"/>
              </w:rPr>
            </w:pPr>
            <w:r>
              <w:rPr>
                <w:rFonts w:ascii="Arial" w:hAnsi="Arial" w:cs="Arial"/>
              </w:rPr>
              <w:t>40%</w:t>
            </w:r>
          </w:p>
        </w:tc>
        <w:tc>
          <w:tcPr>
            <w:tcW w:w="1681" w:type="dxa"/>
          </w:tcPr>
          <w:p w:rsidR="00D57168" w:rsidRDefault="00D57168" w:rsidP="00573578">
            <w:pPr>
              <w:jc w:val="both"/>
              <w:rPr>
                <w:rFonts w:ascii="Arial" w:hAnsi="Arial" w:cs="Arial"/>
              </w:rPr>
            </w:pPr>
            <w:r>
              <w:rPr>
                <w:rFonts w:ascii="Arial" w:hAnsi="Arial" w:cs="Arial"/>
              </w:rPr>
              <w:t>20%</w:t>
            </w:r>
          </w:p>
        </w:tc>
      </w:tr>
      <w:tr w:rsidR="00D57168" w:rsidTr="00573578">
        <w:tc>
          <w:tcPr>
            <w:tcW w:w="2819" w:type="dxa"/>
          </w:tcPr>
          <w:p w:rsidR="00D57168" w:rsidRDefault="00D57168" w:rsidP="00573578">
            <w:pPr>
              <w:rPr>
                <w:rFonts w:ascii="Arial" w:hAnsi="Arial" w:cs="Arial"/>
              </w:rPr>
            </w:pPr>
            <w:r>
              <w:rPr>
                <w:rFonts w:ascii="Arial" w:hAnsi="Arial" w:cs="Arial"/>
              </w:rPr>
              <w:t>Education Only</w:t>
            </w:r>
          </w:p>
        </w:tc>
        <w:tc>
          <w:tcPr>
            <w:tcW w:w="1978" w:type="dxa"/>
          </w:tcPr>
          <w:p w:rsidR="00D57168" w:rsidRDefault="00D57168" w:rsidP="00573578">
            <w:pPr>
              <w:jc w:val="both"/>
              <w:rPr>
                <w:rFonts w:ascii="Arial" w:hAnsi="Arial" w:cs="Arial"/>
              </w:rPr>
            </w:pPr>
            <w:r w:rsidRPr="0451B841">
              <w:rPr>
                <w:rFonts w:ascii="Arial" w:hAnsi="Arial" w:cs="Arial"/>
              </w:rPr>
              <w:t>10%</w:t>
            </w:r>
          </w:p>
        </w:tc>
        <w:tc>
          <w:tcPr>
            <w:tcW w:w="1818" w:type="dxa"/>
          </w:tcPr>
          <w:p w:rsidR="00D57168" w:rsidRDefault="00D57168" w:rsidP="00573578">
            <w:pPr>
              <w:jc w:val="both"/>
              <w:rPr>
                <w:rFonts w:ascii="Arial" w:hAnsi="Arial" w:cs="Arial"/>
              </w:rPr>
            </w:pPr>
            <w:r w:rsidRPr="0451B841">
              <w:rPr>
                <w:rFonts w:ascii="Arial" w:hAnsi="Arial" w:cs="Arial"/>
              </w:rPr>
              <w:t>70%</w:t>
            </w:r>
          </w:p>
        </w:tc>
        <w:tc>
          <w:tcPr>
            <w:tcW w:w="1681" w:type="dxa"/>
          </w:tcPr>
          <w:p w:rsidR="00D57168" w:rsidRDefault="00D57168" w:rsidP="00573578">
            <w:pPr>
              <w:jc w:val="both"/>
              <w:rPr>
                <w:rFonts w:ascii="Arial" w:hAnsi="Arial" w:cs="Arial"/>
              </w:rPr>
            </w:pPr>
            <w:r>
              <w:rPr>
                <w:rFonts w:ascii="Arial" w:hAnsi="Arial" w:cs="Arial"/>
              </w:rPr>
              <w:t>20%</w:t>
            </w:r>
          </w:p>
        </w:tc>
      </w:tr>
    </w:tbl>
    <w:p w:rsidR="00D57168" w:rsidRPr="007616C9" w:rsidRDefault="00D57168" w:rsidP="00D57168">
      <w:pPr>
        <w:pStyle w:val="NoSpacing"/>
        <w:rPr>
          <w:sz w:val="12"/>
        </w:rPr>
      </w:pPr>
    </w:p>
    <w:p w:rsidR="00D57168" w:rsidRDefault="00D57168" w:rsidP="00D57168">
      <w:pPr>
        <w:pStyle w:val="ListParagraph"/>
        <w:jc w:val="both"/>
        <w:rPr>
          <w:rFonts w:ascii="Arial" w:hAnsi="Arial" w:cs="Arial"/>
        </w:rPr>
      </w:pPr>
      <w:r w:rsidRPr="13FD1896">
        <w:rPr>
          <w:rFonts w:ascii="Arial" w:hAnsi="Arial" w:cs="Arial"/>
        </w:rPr>
        <w:t>These general allocations should be tailored to the needs of the School and the individual.</w:t>
      </w:r>
    </w:p>
    <w:p w:rsidR="00D57168" w:rsidRPr="006B4D79" w:rsidRDefault="00D57168" w:rsidP="00D57168">
      <w:pPr>
        <w:pStyle w:val="ListParagraph"/>
        <w:jc w:val="both"/>
        <w:rPr>
          <w:rFonts w:ascii="Arial" w:eastAsiaTheme="minorEastAsia" w:hAnsi="Arial" w:cs="Arial"/>
          <w:sz w:val="16"/>
          <w:szCs w:val="16"/>
        </w:rPr>
      </w:pPr>
      <w:r>
        <w:rPr>
          <w:rFonts w:ascii="Arial" w:eastAsiaTheme="minorEastAsia" w:hAnsi="Arial" w:cs="Arial"/>
          <w:sz w:val="16"/>
          <w:szCs w:val="16"/>
        </w:rPr>
        <w:t xml:space="preserve">    </w:t>
      </w:r>
    </w:p>
    <w:p w:rsidR="00D57168" w:rsidRPr="00D57168" w:rsidRDefault="00D57168" w:rsidP="00D57168">
      <w:pPr>
        <w:pStyle w:val="ListParagraph"/>
        <w:numPr>
          <w:ilvl w:val="0"/>
          <w:numId w:val="8"/>
        </w:numPr>
        <w:jc w:val="both"/>
        <w:rPr>
          <w:rFonts w:eastAsiaTheme="minorEastAsia"/>
        </w:rPr>
      </w:pPr>
      <w:r w:rsidRPr="13FD1896">
        <w:rPr>
          <w:rFonts w:ascii="Arial" w:hAnsi="Arial" w:cs="Arial"/>
        </w:rPr>
        <w:t>It is recommended that colleagues on probation</w:t>
      </w:r>
      <w:r>
        <w:rPr>
          <w:rFonts w:ascii="Arial" w:hAnsi="Arial" w:cs="Arial"/>
        </w:rPr>
        <w:t xml:space="preserve"> on the R&amp;E pathway</w:t>
      </w:r>
      <w:r w:rsidRPr="13FD1896">
        <w:rPr>
          <w:rFonts w:ascii="Arial" w:hAnsi="Arial" w:cs="Arial"/>
        </w:rPr>
        <w:t xml:space="preserve"> have a reduced teaching and service load in year one and year two of their employment – in year one an expected teaching load should normally be 50 to 60% of the School norm and in year two 75 to 85% of the School norm.</w:t>
      </w:r>
    </w:p>
    <w:p w:rsidR="00D57168" w:rsidRPr="00F373CE" w:rsidRDefault="00D57168" w:rsidP="00D57168">
      <w:pPr>
        <w:pStyle w:val="ListParagraph"/>
        <w:jc w:val="both"/>
        <w:rPr>
          <w:rFonts w:eastAsiaTheme="minorEastAsia"/>
        </w:rPr>
      </w:pPr>
    </w:p>
    <w:p w:rsidR="00D57168" w:rsidRPr="00F373CE" w:rsidRDefault="00D57168" w:rsidP="00D57168">
      <w:pPr>
        <w:pStyle w:val="ListParagraph"/>
        <w:numPr>
          <w:ilvl w:val="0"/>
          <w:numId w:val="8"/>
        </w:numPr>
        <w:jc w:val="both"/>
        <w:rPr>
          <w:rStyle w:val="Hyperlink"/>
          <w:rFonts w:eastAsiaTheme="minorEastAsia"/>
          <w:color w:val="auto"/>
          <w:u w:val="none"/>
        </w:rPr>
      </w:pPr>
      <w:r w:rsidRPr="00F373CE">
        <w:rPr>
          <w:rFonts w:ascii="Arial" w:eastAsiaTheme="minorEastAsia" w:hAnsi="Arial" w:cs="Arial"/>
        </w:rPr>
        <w:t>Workload allocation should be an annual exercise with planning commencing January through to March each year and finalising allocations by early September. Staff should be encouraged to discuss their workload preferences at the start of the planning cycle and workload allocation should be aligned to PDR priorities and development goals. T</w:t>
      </w:r>
      <w:r w:rsidRPr="00F373CE">
        <w:rPr>
          <w:rStyle w:val="Hyperlink"/>
          <w:rFonts w:ascii="Arial" w:hAnsi="Arial" w:cs="Arial"/>
          <w:color w:val="auto"/>
          <w:u w:val="none"/>
        </w:rPr>
        <w:t>ime should be allocated for professional development appropriate to the role and career trajectory.</w:t>
      </w:r>
    </w:p>
    <w:p w:rsidR="00D57168" w:rsidRPr="006B4D79" w:rsidRDefault="00D57168" w:rsidP="00D57168">
      <w:pPr>
        <w:pStyle w:val="ListParagraph"/>
        <w:jc w:val="both"/>
        <w:rPr>
          <w:rFonts w:ascii="Arial" w:eastAsiaTheme="minorEastAsia" w:hAnsi="Arial" w:cs="Arial"/>
          <w:sz w:val="16"/>
          <w:szCs w:val="16"/>
        </w:rPr>
      </w:pPr>
    </w:p>
    <w:p w:rsidR="00D57168" w:rsidRDefault="00D57168" w:rsidP="00D57168">
      <w:pPr>
        <w:pStyle w:val="ListParagraph"/>
        <w:numPr>
          <w:ilvl w:val="0"/>
          <w:numId w:val="8"/>
        </w:numPr>
        <w:jc w:val="both"/>
        <w:rPr>
          <w:rFonts w:ascii="Arial" w:eastAsiaTheme="minorEastAsia" w:hAnsi="Arial" w:cs="Arial"/>
        </w:rPr>
      </w:pPr>
      <w:r w:rsidRPr="00373E3C">
        <w:rPr>
          <w:rFonts w:ascii="Arial" w:eastAsiaTheme="minorEastAsia" w:hAnsi="Arial" w:cs="Arial"/>
        </w:rPr>
        <w:t xml:space="preserve">Grant applications </w:t>
      </w:r>
      <w:r>
        <w:rPr>
          <w:rFonts w:ascii="Arial" w:eastAsiaTheme="minorEastAsia" w:hAnsi="Arial" w:cs="Arial"/>
        </w:rPr>
        <w:t xml:space="preserve">which </w:t>
      </w:r>
      <w:r w:rsidRPr="00373E3C">
        <w:rPr>
          <w:rFonts w:ascii="Arial" w:eastAsiaTheme="minorEastAsia" w:hAnsi="Arial" w:cs="Arial"/>
        </w:rPr>
        <w:t>include</w:t>
      </w:r>
      <w:r>
        <w:rPr>
          <w:rFonts w:ascii="Arial" w:eastAsiaTheme="minorEastAsia" w:hAnsi="Arial" w:cs="Arial"/>
        </w:rPr>
        <w:t xml:space="preserve"> a dedicated</w:t>
      </w:r>
      <w:r w:rsidRPr="00373E3C">
        <w:rPr>
          <w:rFonts w:ascii="Arial" w:eastAsiaTheme="minorEastAsia" w:hAnsi="Arial" w:cs="Arial"/>
        </w:rPr>
        <w:t xml:space="preserve"> budget </w:t>
      </w:r>
      <w:r>
        <w:rPr>
          <w:rFonts w:ascii="Arial" w:eastAsiaTheme="minorEastAsia" w:hAnsi="Arial" w:cs="Arial"/>
        </w:rPr>
        <w:t xml:space="preserve">line </w:t>
      </w:r>
      <w:r w:rsidRPr="00373E3C">
        <w:rPr>
          <w:rFonts w:ascii="Arial" w:eastAsiaTheme="minorEastAsia" w:hAnsi="Arial" w:cs="Arial"/>
        </w:rPr>
        <w:t xml:space="preserve">for teaching </w:t>
      </w:r>
      <w:r>
        <w:rPr>
          <w:rFonts w:ascii="Arial" w:eastAsiaTheme="minorEastAsia" w:hAnsi="Arial" w:cs="Arial"/>
        </w:rPr>
        <w:t xml:space="preserve">cover </w:t>
      </w:r>
      <w:r w:rsidRPr="00373E3C">
        <w:rPr>
          <w:rFonts w:ascii="Arial" w:eastAsiaTheme="minorEastAsia" w:hAnsi="Arial" w:cs="Arial"/>
        </w:rPr>
        <w:t xml:space="preserve">costs should be agreed in advance with the </w:t>
      </w:r>
      <w:r>
        <w:rPr>
          <w:rFonts w:ascii="Arial" w:eastAsiaTheme="minorEastAsia" w:hAnsi="Arial" w:cs="Arial"/>
        </w:rPr>
        <w:t xml:space="preserve">HoS. The HoS </w:t>
      </w:r>
      <w:r w:rsidRPr="00373E3C">
        <w:rPr>
          <w:rFonts w:ascii="Arial" w:eastAsiaTheme="minorEastAsia" w:hAnsi="Arial" w:cs="Arial"/>
        </w:rPr>
        <w:t>will consider the request in line</w:t>
      </w:r>
      <w:r>
        <w:rPr>
          <w:rFonts w:ascii="Arial" w:eastAsiaTheme="minorEastAsia" w:hAnsi="Arial" w:cs="Arial"/>
        </w:rPr>
        <w:t xml:space="preserve"> with</w:t>
      </w:r>
      <w:r w:rsidRPr="00373E3C">
        <w:rPr>
          <w:rFonts w:ascii="Arial" w:eastAsiaTheme="minorEastAsia" w:hAnsi="Arial" w:cs="Arial"/>
        </w:rPr>
        <w:t xml:space="preserve"> the individual, research project, School </w:t>
      </w:r>
      <w:r>
        <w:rPr>
          <w:rFonts w:ascii="Arial" w:eastAsiaTheme="minorEastAsia" w:hAnsi="Arial" w:cs="Arial"/>
        </w:rPr>
        <w:t>needs/</w:t>
      </w:r>
      <w:r w:rsidRPr="00373E3C">
        <w:rPr>
          <w:rFonts w:ascii="Arial" w:eastAsiaTheme="minorEastAsia" w:hAnsi="Arial" w:cs="Arial"/>
        </w:rPr>
        <w:t xml:space="preserve">priorities and the viability of </w:t>
      </w:r>
      <w:r>
        <w:rPr>
          <w:rFonts w:ascii="Arial" w:eastAsiaTheme="minorEastAsia" w:hAnsi="Arial" w:cs="Arial"/>
        </w:rPr>
        <w:t xml:space="preserve">recruiting </w:t>
      </w:r>
      <w:r w:rsidRPr="00373E3C">
        <w:rPr>
          <w:rFonts w:ascii="Arial" w:eastAsiaTheme="minorEastAsia" w:hAnsi="Arial" w:cs="Arial"/>
        </w:rPr>
        <w:t xml:space="preserve">cover. </w:t>
      </w:r>
      <w:r>
        <w:rPr>
          <w:rFonts w:ascii="Arial" w:eastAsiaTheme="minorEastAsia" w:hAnsi="Arial" w:cs="Arial"/>
        </w:rPr>
        <w:t>For o</w:t>
      </w:r>
      <w:r w:rsidRPr="00373E3C">
        <w:rPr>
          <w:rFonts w:ascii="Arial" w:eastAsiaTheme="minorEastAsia" w:hAnsi="Arial" w:cs="Arial"/>
        </w:rPr>
        <w:t xml:space="preserve">ther grants, </w:t>
      </w:r>
      <w:r>
        <w:rPr>
          <w:rFonts w:ascii="Arial" w:eastAsiaTheme="minorEastAsia" w:hAnsi="Arial" w:cs="Arial"/>
        </w:rPr>
        <w:t xml:space="preserve">e.g. </w:t>
      </w:r>
      <w:r w:rsidRPr="00373E3C">
        <w:rPr>
          <w:rFonts w:ascii="Arial" w:eastAsiaTheme="minorEastAsia" w:hAnsi="Arial" w:cs="Arial"/>
        </w:rPr>
        <w:t xml:space="preserve">UKRI, </w:t>
      </w:r>
      <w:r>
        <w:rPr>
          <w:rFonts w:ascii="Arial" w:eastAsiaTheme="minorEastAsia" w:hAnsi="Arial" w:cs="Arial"/>
        </w:rPr>
        <w:t xml:space="preserve">which </w:t>
      </w:r>
      <w:r w:rsidRPr="00373E3C">
        <w:rPr>
          <w:rFonts w:ascii="Arial" w:eastAsiaTheme="minorEastAsia" w:hAnsi="Arial" w:cs="Arial"/>
        </w:rPr>
        <w:t>provide costs for Principal/Co</w:t>
      </w:r>
      <w:r>
        <w:rPr>
          <w:rFonts w:ascii="Arial" w:eastAsiaTheme="minorEastAsia" w:hAnsi="Arial" w:cs="Arial"/>
        </w:rPr>
        <w:t>-</w:t>
      </w:r>
      <w:r w:rsidRPr="00373E3C">
        <w:rPr>
          <w:rFonts w:ascii="Arial" w:eastAsiaTheme="minorEastAsia" w:hAnsi="Arial" w:cs="Arial"/>
        </w:rPr>
        <w:t>Investigator time</w:t>
      </w:r>
      <w:r>
        <w:rPr>
          <w:rFonts w:ascii="Arial" w:eastAsiaTheme="minorEastAsia" w:hAnsi="Arial" w:cs="Arial"/>
        </w:rPr>
        <w:t xml:space="preserve">, staff </w:t>
      </w:r>
      <w:r w:rsidRPr="00373E3C">
        <w:rPr>
          <w:rFonts w:ascii="Arial" w:eastAsiaTheme="minorEastAsia" w:hAnsi="Arial" w:cs="Arial"/>
        </w:rPr>
        <w:t xml:space="preserve">may wish to request </w:t>
      </w:r>
      <w:r w:rsidRPr="00717C60">
        <w:rPr>
          <w:rFonts w:ascii="Arial" w:eastAsiaTheme="minorEastAsia" w:hAnsi="Arial" w:cs="Arial"/>
        </w:rPr>
        <w:t>some</w:t>
      </w:r>
      <w:r w:rsidRPr="00373E3C">
        <w:rPr>
          <w:rFonts w:ascii="Arial" w:eastAsiaTheme="minorEastAsia" w:hAnsi="Arial" w:cs="Arial"/>
        </w:rPr>
        <w:t xml:space="preserve"> </w:t>
      </w:r>
      <w:r w:rsidRPr="00373E3C">
        <w:rPr>
          <w:rFonts w:ascii="Arial" w:eastAsiaTheme="minorEastAsia" w:hAnsi="Arial" w:cs="Arial"/>
        </w:rPr>
        <w:lastRenderedPageBreak/>
        <w:t xml:space="preserve">teaching </w:t>
      </w:r>
      <w:r>
        <w:rPr>
          <w:rFonts w:ascii="Arial" w:eastAsiaTheme="minorEastAsia" w:hAnsi="Arial" w:cs="Arial"/>
        </w:rPr>
        <w:t>relief</w:t>
      </w:r>
      <w:r w:rsidR="00880F57">
        <w:rPr>
          <w:rFonts w:ascii="Arial" w:eastAsiaTheme="minorEastAsia" w:hAnsi="Arial" w:cs="Arial"/>
        </w:rPr>
        <w:t>,</w:t>
      </w:r>
      <w:r>
        <w:rPr>
          <w:rFonts w:ascii="Arial" w:eastAsiaTheme="minorEastAsia" w:hAnsi="Arial" w:cs="Arial"/>
        </w:rPr>
        <w:t xml:space="preserve"> </w:t>
      </w:r>
      <w:r w:rsidRPr="00373E3C">
        <w:rPr>
          <w:rFonts w:ascii="Arial" w:eastAsiaTheme="minorEastAsia" w:hAnsi="Arial" w:cs="Arial"/>
        </w:rPr>
        <w:t>particularly when large amounts of PI/CI time</w:t>
      </w:r>
      <w:r w:rsidRPr="00717C60">
        <w:rPr>
          <w:rFonts w:ascii="Arial" w:eastAsiaTheme="minorEastAsia" w:hAnsi="Arial" w:cs="Arial"/>
        </w:rPr>
        <w:t xml:space="preserve"> extend above the 40% time typically allocated for research</w:t>
      </w:r>
      <w:r>
        <w:rPr>
          <w:rFonts w:ascii="Arial" w:eastAsiaTheme="minorEastAsia" w:hAnsi="Arial" w:cs="Arial"/>
        </w:rPr>
        <w:t>. A</w:t>
      </w:r>
      <w:r w:rsidRPr="00373E3C">
        <w:rPr>
          <w:rFonts w:ascii="Arial" w:eastAsiaTheme="minorEastAsia" w:hAnsi="Arial" w:cs="Arial"/>
        </w:rPr>
        <w:t xml:space="preserve"> Faculty agreed approach</w:t>
      </w:r>
      <w:r>
        <w:rPr>
          <w:rFonts w:ascii="Arial" w:eastAsiaTheme="minorEastAsia" w:hAnsi="Arial" w:cs="Arial"/>
        </w:rPr>
        <w:t>,</w:t>
      </w:r>
      <w:r w:rsidRPr="00373E3C">
        <w:rPr>
          <w:rFonts w:ascii="Arial" w:eastAsiaTheme="minorEastAsia" w:hAnsi="Arial" w:cs="Arial"/>
        </w:rPr>
        <w:t xml:space="preserve"> balancing the maximisation of income contribution against teaching needs, should be applied</w:t>
      </w:r>
      <w:r>
        <w:rPr>
          <w:rFonts w:ascii="Arial" w:eastAsiaTheme="minorEastAsia" w:hAnsi="Arial" w:cs="Arial"/>
        </w:rPr>
        <w:t xml:space="preserve">, and the HoS </w:t>
      </w:r>
      <w:r w:rsidRPr="00373E3C">
        <w:rPr>
          <w:rFonts w:ascii="Arial" w:eastAsiaTheme="minorEastAsia" w:hAnsi="Arial" w:cs="Arial"/>
        </w:rPr>
        <w:t xml:space="preserve">should ensure </w:t>
      </w:r>
      <w:r>
        <w:rPr>
          <w:rFonts w:ascii="Arial" w:eastAsiaTheme="minorEastAsia" w:hAnsi="Arial" w:cs="Arial"/>
        </w:rPr>
        <w:t xml:space="preserve">that </w:t>
      </w:r>
      <w:r w:rsidRPr="00373E3C">
        <w:rPr>
          <w:rFonts w:ascii="Arial" w:eastAsiaTheme="minorEastAsia" w:hAnsi="Arial" w:cs="Arial"/>
        </w:rPr>
        <w:t>teaching relief accurately reflects time spent on the grant.</w:t>
      </w:r>
    </w:p>
    <w:p w:rsidR="00D57168" w:rsidRPr="006B4D79" w:rsidRDefault="00D57168" w:rsidP="00D57168">
      <w:pPr>
        <w:pStyle w:val="ListParagraph"/>
        <w:jc w:val="both"/>
        <w:rPr>
          <w:rFonts w:ascii="Arial" w:eastAsiaTheme="minorEastAsia" w:hAnsi="Arial" w:cs="Arial"/>
          <w:sz w:val="16"/>
          <w:szCs w:val="16"/>
        </w:rPr>
      </w:pPr>
    </w:p>
    <w:p w:rsidR="00D57168" w:rsidRDefault="00D57168" w:rsidP="00D57168">
      <w:pPr>
        <w:pStyle w:val="ListParagraph"/>
        <w:numPr>
          <w:ilvl w:val="0"/>
          <w:numId w:val="8"/>
        </w:numPr>
        <w:jc w:val="both"/>
        <w:rPr>
          <w:rFonts w:ascii="Arial" w:eastAsiaTheme="minorEastAsia" w:hAnsi="Arial" w:cs="Arial"/>
        </w:rPr>
      </w:pPr>
      <w:r w:rsidRPr="00AE34A9">
        <w:rPr>
          <w:rFonts w:ascii="Arial" w:eastAsiaTheme="minorEastAsia" w:hAnsi="Arial" w:cs="Arial"/>
        </w:rPr>
        <w:t xml:space="preserve">When allocating time to </w:t>
      </w:r>
      <w:r>
        <w:rPr>
          <w:rFonts w:ascii="Arial" w:eastAsiaTheme="minorEastAsia" w:hAnsi="Arial" w:cs="Arial"/>
        </w:rPr>
        <w:t>t</w:t>
      </w:r>
      <w:r w:rsidRPr="00AE34A9">
        <w:rPr>
          <w:rFonts w:ascii="Arial" w:eastAsiaTheme="minorEastAsia" w:hAnsi="Arial" w:cs="Arial"/>
        </w:rPr>
        <w:t>eaching</w:t>
      </w:r>
      <w:r w:rsidR="00880F57">
        <w:rPr>
          <w:rFonts w:ascii="Arial" w:eastAsiaTheme="minorEastAsia" w:hAnsi="Arial" w:cs="Arial"/>
        </w:rPr>
        <w:t>,</w:t>
      </w:r>
      <w:r w:rsidRPr="00AE34A9">
        <w:rPr>
          <w:rFonts w:ascii="Arial" w:eastAsiaTheme="minorEastAsia" w:hAnsi="Arial" w:cs="Arial"/>
        </w:rPr>
        <w:t xml:space="preserve"> the following should be taken into account: </w:t>
      </w:r>
      <w:r>
        <w:rPr>
          <w:rFonts w:ascii="Arial" w:eastAsiaTheme="minorEastAsia" w:hAnsi="Arial" w:cs="Arial"/>
        </w:rPr>
        <w:t>class size</w:t>
      </w:r>
      <w:r w:rsidRPr="00AE34A9">
        <w:rPr>
          <w:rFonts w:ascii="Arial" w:eastAsiaTheme="minorEastAsia" w:hAnsi="Arial" w:cs="Arial"/>
        </w:rPr>
        <w:t xml:space="preserve">, methods of teaching </w:t>
      </w:r>
      <w:r>
        <w:rPr>
          <w:rFonts w:ascii="Arial" w:eastAsiaTheme="minorEastAsia" w:hAnsi="Arial" w:cs="Arial"/>
        </w:rPr>
        <w:t xml:space="preserve">e.g. </w:t>
      </w:r>
      <w:r w:rsidRPr="00AE34A9">
        <w:rPr>
          <w:rFonts w:ascii="Arial" w:eastAsiaTheme="minorEastAsia" w:hAnsi="Arial" w:cs="Arial"/>
        </w:rPr>
        <w:t>lecture</w:t>
      </w:r>
      <w:r>
        <w:rPr>
          <w:rFonts w:ascii="Arial" w:eastAsiaTheme="minorEastAsia" w:hAnsi="Arial" w:cs="Arial"/>
        </w:rPr>
        <w:t xml:space="preserve">, </w:t>
      </w:r>
      <w:r w:rsidRPr="00AE34A9">
        <w:rPr>
          <w:rFonts w:ascii="Arial" w:eastAsiaTheme="minorEastAsia" w:hAnsi="Arial" w:cs="Arial"/>
        </w:rPr>
        <w:t>practical, tutorial</w:t>
      </w:r>
      <w:r>
        <w:rPr>
          <w:rFonts w:ascii="Arial" w:eastAsiaTheme="minorEastAsia" w:hAnsi="Arial" w:cs="Arial"/>
        </w:rPr>
        <w:t>,</w:t>
      </w:r>
      <w:r w:rsidRPr="00AE34A9">
        <w:rPr>
          <w:rFonts w:ascii="Arial" w:eastAsiaTheme="minorEastAsia" w:hAnsi="Arial" w:cs="Arial"/>
        </w:rPr>
        <w:t xml:space="preserve"> laboratory</w:t>
      </w:r>
      <w:r>
        <w:rPr>
          <w:rFonts w:ascii="Arial" w:eastAsiaTheme="minorEastAsia" w:hAnsi="Arial" w:cs="Arial"/>
        </w:rPr>
        <w:t xml:space="preserve"> and project supervision, </w:t>
      </w:r>
      <w:r w:rsidRPr="00AE34A9">
        <w:rPr>
          <w:rFonts w:ascii="Arial" w:eastAsiaTheme="minorEastAsia" w:hAnsi="Arial" w:cs="Arial"/>
        </w:rPr>
        <w:t>and assessment methods including marking</w:t>
      </w:r>
      <w:r>
        <w:rPr>
          <w:rFonts w:ascii="Arial" w:eastAsiaTheme="minorEastAsia" w:hAnsi="Arial" w:cs="Arial"/>
        </w:rPr>
        <w:t xml:space="preserve">, </w:t>
      </w:r>
      <w:r w:rsidRPr="00AE34A9">
        <w:rPr>
          <w:rFonts w:ascii="Arial" w:eastAsiaTheme="minorEastAsia" w:hAnsi="Arial" w:cs="Arial"/>
        </w:rPr>
        <w:t>moderation and feedback.</w:t>
      </w:r>
      <w:r>
        <w:rPr>
          <w:rFonts w:ascii="Arial" w:eastAsiaTheme="minorEastAsia" w:hAnsi="Arial" w:cs="Arial"/>
        </w:rPr>
        <w:t xml:space="preserve"> </w:t>
      </w:r>
      <w:r w:rsidRPr="00AE34A9">
        <w:rPr>
          <w:rFonts w:ascii="Arial" w:eastAsiaTheme="minorEastAsia" w:hAnsi="Arial" w:cs="Arial"/>
        </w:rPr>
        <w:t xml:space="preserve">Consideration should also be </w:t>
      </w:r>
      <w:r w:rsidR="00880F57">
        <w:rPr>
          <w:rFonts w:ascii="Arial" w:eastAsiaTheme="minorEastAsia" w:hAnsi="Arial" w:cs="Arial"/>
        </w:rPr>
        <w:t>given</w:t>
      </w:r>
      <w:r w:rsidRPr="00AE34A9">
        <w:rPr>
          <w:rFonts w:ascii="Arial" w:eastAsiaTheme="minorEastAsia" w:hAnsi="Arial" w:cs="Arial"/>
        </w:rPr>
        <w:t xml:space="preserve"> to whether the module is new, the </w:t>
      </w:r>
      <w:r>
        <w:rPr>
          <w:rFonts w:ascii="Arial" w:eastAsiaTheme="minorEastAsia" w:hAnsi="Arial" w:cs="Arial"/>
        </w:rPr>
        <w:t xml:space="preserve">individual is </w:t>
      </w:r>
      <w:r w:rsidRPr="00AE34A9">
        <w:rPr>
          <w:rFonts w:ascii="Arial" w:eastAsiaTheme="minorEastAsia" w:hAnsi="Arial" w:cs="Arial"/>
        </w:rPr>
        <w:t xml:space="preserve">teaching in a subject area they have not previously delivered, there are significant changes to the delivery approaches of the module which include innovation, and also if there </w:t>
      </w:r>
      <w:r w:rsidR="00880F57">
        <w:rPr>
          <w:rFonts w:ascii="Arial" w:eastAsiaTheme="minorEastAsia" w:hAnsi="Arial" w:cs="Arial"/>
        </w:rPr>
        <w:t>are</w:t>
      </w:r>
      <w:r w:rsidRPr="00AE34A9">
        <w:rPr>
          <w:rFonts w:ascii="Arial" w:eastAsiaTheme="minorEastAsia" w:hAnsi="Arial" w:cs="Arial"/>
        </w:rPr>
        <w:t xml:space="preserve"> additional requirements by accrediting and professional bodies</w:t>
      </w:r>
      <w:r>
        <w:rPr>
          <w:rFonts w:ascii="Arial" w:eastAsiaTheme="minorEastAsia" w:hAnsi="Arial" w:cs="Arial"/>
        </w:rPr>
        <w:t>.</w:t>
      </w:r>
    </w:p>
    <w:p w:rsidR="00D57168" w:rsidRPr="006B4D79" w:rsidRDefault="00D57168" w:rsidP="00D57168">
      <w:pPr>
        <w:pStyle w:val="ListParagraph"/>
        <w:jc w:val="both"/>
        <w:rPr>
          <w:rFonts w:ascii="Arial" w:eastAsiaTheme="minorEastAsia" w:hAnsi="Arial" w:cs="Arial"/>
          <w:sz w:val="16"/>
          <w:szCs w:val="16"/>
        </w:rPr>
      </w:pPr>
    </w:p>
    <w:p w:rsidR="00D57168" w:rsidRDefault="00D57168" w:rsidP="00D57168">
      <w:pPr>
        <w:pStyle w:val="ListParagraph"/>
        <w:numPr>
          <w:ilvl w:val="0"/>
          <w:numId w:val="8"/>
        </w:numPr>
        <w:jc w:val="both"/>
        <w:rPr>
          <w:rFonts w:ascii="Arial" w:hAnsi="Arial" w:cs="Arial"/>
        </w:rPr>
      </w:pPr>
      <w:r w:rsidRPr="13FD1896">
        <w:rPr>
          <w:rFonts w:ascii="Arial" w:hAnsi="Arial" w:cs="Arial"/>
        </w:rPr>
        <w:t>Unless in exceptional circumstances, and with the prior agreement of the HoS, time spent by a member of staff engaged on paid consultancy work should not be taken into account/reduce the total amount of work allocated.</w:t>
      </w:r>
    </w:p>
    <w:p w:rsidR="00D57168" w:rsidRPr="0034194F" w:rsidRDefault="00D57168" w:rsidP="00D57168">
      <w:pPr>
        <w:pStyle w:val="ListParagraph"/>
        <w:jc w:val="both"/>
        <w:rPr>
          <w:rFonts w:ascii="Arial" w:hAnsi="Arial" w:cs="Arial"/>
          <w:sz w:val="16"/>
          <w:szCs w:val="16"/>
        </w:rPr>
      </w:pPr>
      <w:r w:rsidRPr="0034194F">
        <w:rPr>
          <w:rFonts w:ascii="Arial" w:hAnsi="Arial" w:cs="Arial"/>
          <w:sz w:val="16"/>
          <w:szCs w:val="16"/>
        </w:rPr>
        <w:t xml:space="preserve">    </w:t>
      </w:r>
    </w:p>
    <w:p w:rsidR="00D57168" w:rsidRDefault="00D57168" w:rsidP="00D57168">
      <w:pPr>
        <w:pStyle w:val="ListParagraph"/>
        <w:numPr>
          <w:ilvl w:val="0"/>
          <w:numId w:val="8"/>
        </w:numPr>
        <w:jc w:val="both"/>
        <w:rPr>
          <w:rFonts w:ascii="Arial" w:hAnsi="Arial" w:cs="Arial"/>
        </w:rPr>
      </w:pPr>
      <w:r w:rsidRPr="13FD1896">
        <w:rPr>
          <w:rFonts w:ascii="Arial" w:hAnsi="Arial" w:cs="Arial"/>
        </w:rPr>
        <w:t>Responsibilities and tasks should be given a notional allocation of hours to complete on an annual basis, recognising that many activities may be concentrated in a small per</w:t>
      </w:r>
      <w:r>
        <w:rPr>
          <w:rFonts w:ascii="Arial" w:hAnsi="Arial" w:cs="Arial"/>
        </w:rPr>
        <w:t>iod of time throughout the year.</w:t>
      </w:r>
    </w:p>
    <w:p w:rsidR="00D57168" w:rsidRDefault="00D57168" w:rsidP="00D57168">
      <w:pPr>
        <w:pStyle w:val="ListParagraph"/>
        <w:jc w:val="both"/>
        <w:rPr>
          <w:rFonts w:ascii="Arial" w:hAnsi="Arial" w:cs="Arial"/>
        </w:rPr>
      </w:pPr>
    </w:p>
    <w:p w:rsidR="00D57168" w:rsidRDefault="00D57168" w:rsidP="00D57168">
      <w:pPr>
        <w:pStyle w:val="ListParagraph"/>
        <w:numPr>
          <w:ilvl w:val="0"/>
          <w:numId w:val="8"/>
        </w:numPr>
        <w:spacing w:after="0" w:line="240" w:lineRule="auto"/>
        <w:jc w:val="both"/>
        <w:rPr>
          <w:rFonts w:ascii="Arial" w:hAnsi="Arial" w:cs="Arial"/>
        </w:rPr>
      </w:pPr>
      <w:r>
        <w:rPr>
          <w:rFonts w:ascii="Arial" w:hAnsi="Arial" w:cs="Arial"/>
        </w:rPr>
        <w:t>K</w:t>
      </w:r>
      <w:r w:rsidRPr="003B60A1">
        <w:rPr>
          <w:rFonts w:ascii="Arial" w:hAnsi="Arial" w:cs="Arial"/>
        </w:rPr>
        <w:t xml:space="preserve">ey </w:t>
      </w:r>
      <w:r>
        <w:rPr>
          <w:rFonts w:ascii="Arial" w:hAnsi="Arial" w:cs="Arial"/>
        </w:rPr>
        <w:t xml:space="preserve">leadership </w:t>
      </w:r>
      <w:r w:rsidRPr="003B60A1">
        <w:rPr>
          <w:rFonts w:ascii="Arial" w:hAnsi="Arial" w:cs="Arial"/>
        </w:rPr>
        <w:t xml:space="preserve">roles </w:t>
      </w:r>
      <w:r>
        <w:rPr>
          <w:rFonts w:ascii="Arial" w:hAnsi="Arial" w:cs="Arial"/>
        </w:rPr>
        <w:t xml:space="preserve">should be </w:t>
      </w:r>
      <w:r w:rsidRPr="003B60A1">
        <w:rPr>
          <w:rFonts w:ascii="Arial" w:hAnsi="Arial" w:cs="Arial"/>
        </w:rPr>
        <w:t xml:space="preserve">rotated and when a member of staff is responsible for a number of roles they </w:t>
      </w:r>
      <w:r>
        <w:rPr>
          <w:rFonts w:ascii="Arial" w:hAnsi="Arial" w:cs="Arial"/>
        </w:rPr>
        <w:t xml:space="preserve">should </w:t>
      </w:r>
      <w:r w:rsidRPr="003B60A1">
        <w:rPr>
          <w:rFonts w:ascii="Arial" w:hAnsi="Arial" w:cs="Arial"/>
        </w:rPr>
        <w:t>receive the appropriate recognition</w:t>
      </w:r>
      <w:r w:rsidR="00A96E0C">
        <w:rPr>
          <w:rFonts w:ascii="Arial" w:hAnsi="Arial" w:cs="Arial"/>
        </w:rPr>
        <w:t>,</w:t>
      </w:r>
      <w:r>
        <w:rPr>
          <w:rFonts w:ascii="Arial" w:hAnsi="Arial" w:cs="Arial"/>
        </w:rPr>
        <w:t xml:space="preserve"> see Appendix 2</w:t>
      </w:r>
      <w:r w:rsidRPr="003B60A1">
        <w:rPr>
          <w:rFonts w:ascii="Arial" w:hAnsi="Arial" w:cs="Arial"/>
        </w:rPr>
        <w:t xml:space="preserve">. </w:t>
      </w:r>
    </w:p>
    <w:p w:rsidR="00D57168" w:rsidRPr="003B60A1" w:rsidRDefault="00D57168" w:rsidP="00D57168">
      <w:pPr>
        <w:pStyle w:val="ListParagraph"/>
        <w:spacing w:after="0" w:line="240" w:lineRule="auto"/>
        <w:jc w:val="both"/>
        <w:rPr>
          <w:rFonts w:ascii="Arial" w:hAnsi="Arial" w:cs="Arial"/>
        </w:rPr>
      </w:pPr>
    </w:p>
    <w:p w:rsidR="00D57168" w:rsidRDefault="00D57168" w:rsidP="00D57168">
      <w:pPr>
        <w:pStyle w:val="ListParagraph"/>
        <w:numPr>
          <w:ilvl w:val="0"/>
          <w:numId w:val="8"/>
        </w:numPr>
        <w:jc w:val="both"/>
        <w:rPr>
          <w:rFonts w:ascii="Arial" w:hAnsi="Arial" w:cs="Arial"/>
        </w:rPr>
      </w:pPr>
      <w:r w:rsidRPr="13FD1896">
        <w:rPr>
          <w:rFonts w:ascii="Arial" w:hAnsi="Arial" w:cs="Arial"/>
        </w:rPr>
        <w:t xml:space="preserve">A member of staff who considers their workload to be unreasonable or considers that they are being treated unfairly with regard </w:t>
      </w:r>
      <w:r>
        <w:rPr>
          <w:rFonts w:ascii="Arial" w:hAnsi="Arial" w:cs="Arial"/>
        </w:rPr>
        <w:t xml:space="preserve">to </w:t>
      </w:r>
      <w:r w:rsidRPr="13FD1896">
        <w:rPr>
          <w:rFonts w:ascii="Arial" w:hAnsi="Arial" w:cs="Arial"/>
        </w:rPr>
        <w:t>their workload allocation, should raise concerns with their Head of School.</w:t>
      </w:r>
      <w:r>
        <w:rPr>
          <w:rFonts w:ascii="Arial" w:hAnsi="Arial" w:cs="Arial"/>
        </w:rPr>
        <w:t xml:space="preserve"> If the concerns are not addressed through discussions with the Head of School, the issue will be escalated to an appropriate member of the School Management Board.</w:t>
      </w:r>
    </w:p>
    <w:p w:rsidR="00D57168" w:rsidRDefault="00D57168" w:rsidP="00D57168">
      <w:pPr>
        <w:pStyle w:val="ListParagraph"/>
        <w:jc w:val="both"/>
        <w:rPr>
          <w:rFonts w:ascii="Arial" w:hAnsi="Arial" w:cs="Arial"/>
        </w:rPr>
      </w:pPr>
    </w:p>
    <w:p w:rsidR="00D57168" w:rsidRDefault="00D57168" w:rsidP="00D57168">
      <w:pPr>
        <w:pStyle w:val="ListParagraph"/>
        <w:numPr>
          <w:ilvl w:val="0"/>
          <w:numId w:val="8"/>
        </w:numPr>
        <w:jc w:val="both"/>
        <w:rPr>
          <w:rFonts w:ascii="Arial" w:hAnsi="Arial" w:cs="Arial"/>
        </w:rPr>
      </w:pPr>
      <w:r>
        <w:rPr>
          <w:rFonts w:ascii="Arial" w:hAnsi="Arial" w:cs="Arial"/>
        </w:rPr>
        <w:t xml:space="preserve">A Head of School may build in some flexibility to account for leave of absence or discontinuation of contract within their workload allocation. </w:t>
      </w:r>
    </w:p>
    <w:p w:rsidR="00D57168" w:rsidRDefault="00D57168" w:rsidP="00D57168">
      <w:pPr>
        <w:jc w:val="both"/>
        <w:rPr>
          <w:rFonts w:ascii="Arial" w:hAnsi="Arial" w:cs="Arial"/>
        </w:rPr>
      </w:pPr>
      <w:r w:rsidRPr="13FD1896">
        <w:rPr>
          <w:rFonts w:ascii="Arial" w:hAnsi="Arial" w:cs="Arial"/>
        </w:rPr>
        <w:t xml:space="preserve">* The School of Medicine Dentistry and Biomedical Sciences has a different assumption of time allocation and will implement this in line with the principles in this document.   </w:t>
      </w:r>
    </w:p>
    <w:p w:rsidR="00D57168" w:rsidRPr="005E14A8" w:rsidRDefault="00D57168" w:rsidP="00D57168">
      <w:pPr>
        <w:pStyle w:val="ListParagraph"/>
        <w:numPr>
          <w:ilvl w:val="0"/>
          <w:numId w:val="6"/>
        </w:numPr>
        <w:spacing w:after="0" w:line="240" w:lineRule="auto"/>
        <w:jc w:val="both"/>
        <w:rPr>
          <w:rFonts w:ascii="Arial" w:hAnsi="Arial" w:cs="Arial"/>
          <w:u w:val="single"/>
        </w:rPr>
      </w:pPr>
      <w:r w:rsidRPr="005E14A8">
        <w:rPr>
          <w:rFonts w:ascii="Arial" w:hAnsi="Arial" w:cs="Arial"/>
          <w:u w:val="single"/>
        </w:rPr>
        <w:t xml:space="preserve">Review </w:t>
      </w:r>
    </w:p>
    <w:p w:rsidR="00D57168" w:rsidRDefault="00D57168" w:rsidP="00D57168">
      <w:pPr>
        <w:spacing w:after="0" w:line="240" w:lineRule="auto"/>
        <w:jc w:val="both"/>
        <w:rPr>
          <w:rFonts w:ascii="Arial" w:hAnsi="Arial" w:cs="Arial"/>
        </w:rPr>
      </w:pPr>
    </w:p>
    <w:p w:rsidR="00D57168" w:rsidRDefault="00D57168" w:rsidP="00D57168">
      <w:pPr>
        <w:spacing w:after="0" w:line="240" w:lineRule="auto"/>
        <w:jc w:val="both"/>
        <w:rPr>
          <w:rFonts w:ascii="Arial" w:hAnsi="Arial" w:cs="Arial"/>
        </w:rPr>
      </w:pPr>
      <w:r w:rsidRPr="45870CCB">
        <w:rPr>
          <w:rFonts w:ascii="Arial" w:hAnsi="Arial" w:cs="Arial"/>
        </w:rPr>
        <w:t>It is recommended that workload allocation practices are reviewed annually by Schools and Faculties</w:t>
      </w:r>
      <w:r>
        <w:rPr>
          <w:rFonts w:ascii="Arial" w:hAnsi="Arial" w:cs="Arial"/>
        </w:rPr>
        <w:t xml:space="preserve"> and that the approach to review is agreed and communicated to staff</w:t>
      </w:r>
      <w:r w:rsidRPr="45870CCB">
        <w:rPr>
          <w:rFonts w:ascii="Arial" w:hAnsi="Arial" w:cs="Arial"/>
        </w:rPr>
        <w:t>.</w:t>
      </w:r>
      <w:r>
        <w:rPr>
          <w:rFonts w:ascii="Arial" w:hAnsi="Arial" w:cs="Arial"/>
        </w:rPr>
        <w:t xml:space="preserve"> SWAN Champions are required to report on this information on submissions and mid-way reviews.</w:t>
      </w:r>
      <w:r w:rsidRPr="45870CCB">
        <w:rPr>
          <w:rFonts w:ascii="Arial" w:hAnsi="Arial" w:cs="Arial"/>
        </w:rPr>
        <w:t xml:space="preserve"> </w:t>
      </w:r>
    </w:p>
    <w:p w:rsidR="00D57168" w:rsidRDefault="00D57168" w:rsidP="00D57168">
      <w:pPr>
        <w:spacing w:after="0" w:line="240" w:lineRule="auto"/>
        <w:jc w:val="both"/>
        <w:rPr>
          <w:rFonts w:ascii="Arial" w:hAnsi="Arial" w:cs="Arial"/>
        </w:rPr>
      </w:pPr>
    </w:p>
    <w:p w:rsidR="00D57168" w:rsidRPr="00A96E0C" w:rsidRDefault="00D57168" w:rsidP="00A96E0C">
      <w:pPr>
        <w:spacing w:after="0" w:line="240" w:lineRule="auto"/>
        <w:jc w:val="both"/>
        <w:rPr>
          <w:rFonts w:ascii="Arial" w:hAnsi="Arial"/>
        </w:rPr>
        <w:sectPr w:rsidR="00D57168" w:rsidRPr="00A96E0C">
          <w:headerReference w:type="default" r:id="rId16"/>
          <w:footerReference w:type="default" r:id="rId17"/>
          <w:pgSz w:w="11906" w:h="16838"/>
          <w:pgMar w:top="1440" w:right="1440" w:bottom="1440" w:left="1440" w:header="708" w:footer="708" w:gutter="0"/>
          <w:cols w:space="708"/>
          <w:docGrid w:linePitch="360"/>
        </w:sectPr>
      </w:pPr>
      <w:r>
        <w:rPr>
          <w:rFonts w:ascii="Arial" w:hAnsi="Arial" w:cs="Arial"/>
        </w:rPr>
        <w:t xml:space="preserve">An annual audit of a sample of Schools will be conducted by People and Culture reporting to the University Executive Board (UEB) to ensure adherence to the institutional principles </w:t>
      </w:r>
      <w:r w:rsidRPr="00A548EB">
        <w:rPr>
          <w:rFonts w:ascii="Arial" w:hAnsi="Arial" w:cs="Arial"/>
        </w:rPr>
        <w:t xml:space="preserve">and </w:t>
      </w:r>
      <w:r>
        <w:rPr>
          <w:rFonts w:ascii="Arial" w:hAnsi="Arial" w:cs="Arial"/>
        </w:rPr>
        <w:t xml:space="preserve">that fairness and </w:t>
      </w:r>
      <w:r w:rsidRPr="00A548EB">
        <w:rPr>
          <w:rFonts w:ascii="Arial" w:hAnsi="Arial" w:cs="Arial"/>
        </w:rPr>
        <w:t xml:space="preserve">consistency </w:t>
      </w:r>
      <w:r>
        <w:rPr>
          <w:rFonts w:ascii="Arial" w:hAnsi="Arial" w:cs="Arial"/>
        </w:rPr>
        <w:t xml:space="preserve">is </w:t>
      </w:r>
      <w:r w:rsidRPr="00A548EB">
        <w:rPr>
          <w:rFonts w:ascii="Arial" w:hAnsi="Arial" w:cs="Arial"/>
        </w:rPr>
        <w:t>maintained.</w:t>
      </w:r>
      <w:r>
        <w:rPr>
          <w:rFonts w:ascii="Arial" w:hAnsi="Arial" w:cs="Arial"/>
        </w:rPr>
        <w:t xml:space="preserve"> </w:t>
      </w:r>
    </w:p>
    <w:p w:rsidR="00D57168" w:rsidRPr="00292FCE" w:rsidRDefault="00D57168" w:rsidP="00D57168">
      <w:pPr>
        <w:pStyle w:val="paragraph"/>
        <w:spacing w:before="0" w:beforeAutospacing="0" w:after="0" w:afterAutospacing="0"/>
        <w:jc w:val="right"/>
        <w:textAlignment w:val="baseline"/>
        <w:rPr>
          <w:rFonts w:ascii="Arial" w:hAnsi="Arial" w:cs="Arial"/>
          <w:b/>
          <w:sz w:val="22"/>
          <w:szCs w:val="22"/>
        </w:rPr>
      </w:pPr>
      <w:r w:rsidRPr="00292FCE">
        <w:rPr>
          <w:rFonts w:ascii="Arial" w:hAnsi="Arial" w:cs="Arial"/>
          <w:b/>
          <w:sz w:val="22"/>
          <w:szCs w:val="22"/>
        </w:rPr>
        <w:lastRenderedPageBreak/>
        <w:t>Appendix 1</w:t>
      </w:r>
    </w:p>
    <w:p w:rsidR="00D57168" w:rsidRDefault="00D57168" w:rsidP="00D57168">
      <w:pPr>
        <w:pStyle w:val="paragraph"/>
        <w:spacing w:before="0" w:beforeAutospacing="0" w:after="0" w:afterAutospacing="0"/>
        <w:jc w:val="right"/>
        <w:textAlignment w:val="baseline"/>
        <w:rPr>
          <w:rFonts w:ascii="Arial" w:hAnsi="Arial" w:cs="Arial"/>
          <w:sz w:val="22"/>
          <w:szCs w:val="22"/>
        </w:rPr>
      </w:pPr>
    </w:p>
    <w:p w:rsidR="00D57168" w:rsidRPr="000F2C33" w:rsidRDefault="00D57168" w:rsidP="00D57168">
      <w:pPr>
        <w:pStyle w:val="paragraph"/>
        <w:spacing w:before="0" w:beforeAutospacing="0" w:after="0" w:afterAutospacing="0"/>
        <w:textAlignment w:val="baseline"/>
        <w:rPr>
          <w:rFonts w:ascii="Arial" w:hAnsi="Arial" w:cs="Arial"/>
          <w:b/>
          <w:sz w:val="22"/>
          <w:szCs w:val="22"/>
          <w:u w:val="single"/>
        </w:rPr>
      </w:pPr>
      <w:r w:rsidRPr="000F2C33">
        <w:rPr>
          <w:rFonts w:ascii="Arial" w:hAnsi="Arial" w:cs="Arial"/>
          <w:b/>
          <w:sz w:val="22"/>
          <w:szCs w:val="22"/>
          <w:u w:val="single"/>
        </w:rPr>
        <w:t>Sample Common Institutional Roles</w:t>
      </w:r>
    </w:p>
    <w:p w:rsidR="00D57168" w:rsidRPr="000A7A41" w:rsidRDefault="00D57168" w:rsidP="00D57168">
      <w:pPr>
        <w:pStyle w:val="paragraph"/>
        <w:spacing w:before="0" w:beforeAutospacing="0" w:after="0" w:afterAutospacing="0"/>
        <w:jc w:val="both"/>
        <w:textAlignment w:val="baseline"/>
        <w:rPr>
          <w:rFonts w:ascii="Arial" w:hAnsi="Arial" w:cs="Arial"/>
          <w:sz w:val="22"/>
          <w:szCs w:val="22"/>
        </w:rPr>
      </w:pPr>
    </w:p>
    <w:tbl>
      <w:tblPr>
        <w:tblStyle w:val="TableGrid"/>
        <w:tblW w:w="7512" w:type="dxa"/>
        <w:tblInd w:w="421" w:type="dxa"/>
        <w:tblLook w:val="04A0" w:firstRow="1" w:lastRow="0" w:firstColumn="1" w:lastColumn="0" w:noHBand="0" w:noVBand="1"/>
      </w:tblPr>
      <w:tblGrid>
        <w:gridCol w:w="5103"/>
        <w:gridCol w:w="2409"/>
      </w:tblGrid>
      <w:tr w:rsidR="00D57168" w:rsidRPr="000C69D8" w:rsidTr="00A96E0C">
        <w:tc>
          <w:tcPr>
            <w:tcW w:w="5103" w:type="dxa"/>
            <w:shd w:val="clear" w:color="auto" w:fill="BFBFBF" w:themeFill="background1" w:themeFillShade="BF"/>
          </w:tcPr>
          <w:p w:rsidR="00D57168" w:rsidRPr="000C69D8" w:rsidRDefault="00D57168" w:rsidP="00573578">
            <w:pPr>
              <w:rPr>
                <w:rFonts w:ascii="Arial" w:hAnsi="Arial" w:cs="Arial"/>
                <w:b/>
              </w:rPr>
            </w:pPr>
            <w:r w:rsidRPr="000C69D8">
              <w:rPr>
                <w:rFonts w:ascii="Arial" w:hAnsi="Arial" w:cs="Arial"/>
                <w:b/>
              </w:rPr>
              <w:t xml:space="preserve">Role </w:t>
            </w:r>
          </w:p>
        </w:tc>
        <w:tc>
          <w:tcPr>
            <w:tcW w:w="2409" w:type="dxa"/>
            <w:shd w:val="clear" w:color="auto" w:fill="BFBFBF" w:themeFill="background1" w:themeFillShade="BF"/>
          </w:tcPr>
          <w:p w:rsidR="00D57168" w:rsidRPr="000C69D8" w:rsidRDefault="00D57168" w:rsidP="00573578">
            <w:pPr>
              <w:jc w:val="both"/>
              <w:rPr>
                <w:rFonts w:ascii="Arial" w:hAnsi="Arial" w:cs="Arial"/>
                <w:b/>
              </w:rPr>
            </w:pPr>
            <w:r>
              <w:rPr>
                <w:rFonts w:ascii="Arial" w:hAnsi="Arial" w:cs="Arial"/>
                <w:b/>
              </w:rPr>
              <w:t>FTE/Range</w:t>
            </w:r>
          </w:p>
        </w:tc>
      </w:tr>
      <w:tr w:rsidR="00D57168" w:rsidRPr="00BD6BB7" w:rsidTr="00A96E0C">
        <w:tc>
          <w:tcPr>
            <w:tcW w:w="5103" w:type="dxa"/>
          </w:tcPr>
          <w:p w:rsidR="00D57168" w:rsidRPr="00BD6BB7" w:rsidRDefault="00D57168" w:rsidP="00573578">
            <w:pPr>
              <w:rPr>
                <w:rFonts w:ascii="Arial" w:hAnsi="Arial" w:cs="Arial"/>
                <w:color w:val="000000" w:themeColor="text1"/>
              </w:rPr>
            </w:pPr>
            <w:r w:rsidRPr="00BD6BB7">
              <w:rPr>
                <w:rFonts w:ascii="Arial" w:hAnsi="Arial" w:cs="Arial"/>
                <w:color w:val="000000" w:themeColor="text1"/>
              </w:rPr>
              <w:t>Head of School</w:t>
            </w:r>
          </w:p>
        </w:tc>
        <w:tc>
          <w:tcPr>
            <w:tcW w:w="2409" w:type="dxa"/>
          </w:tcPr>
          <w:p w:rsidR="00D57168" w:rsidRPr="00BD6BB7" w:rsidRDefault="00D57168" w:rsidP="00573578">
            <w:pPr>
              <w:jc w:val="both"/>
              <w:rPr>
                <w:rFonts w:ascii="Arial" w:hAnsi="Arial" w:cs="Arial"/>
                <w:color w:val="000000" w:themeColor="text1"/>
              </w:rPr>
            </w:pPr>
            <w:r w:rsidRPr="00BD6BB7">
              <w:rPr>
                <w:rFonts w:ascii="Arial" w:hAnsi="Arial" w:cs="Arial"/>
                <w:color w:val="000000" w:themeColor="text1"/>
              </w:rPr>
              <w:t xml:space="preserve">0.7 FTE </w:t>
            </w:r>
          </w:p>
        </w:tc>
      </w:tr>
      <w:tr w:rsidR="00D57168" w:rsidRPr="00BD6BB7" w:rsidTr="00A96E0C">
        <w:tc>
          <w:tcPr>
            <w:tcW w:w="5103" w:type="dxa"/>
          </w:tcPr>
          <w:p w:rsidR="00D57168" w:rsidRPr="00BD6BB7" w:rsidRDefault="00D57168" w:rsidP="00573578">
            <w:pPr>
              <w:rPr>
                <w:rFonts w:ascii="Arial" w:hAnsi="Arial" w:cs="Arial"/>
                <w:color w:val="000000" w:themeColor="text1"/>
              </w:rPr>
            </w:pPr>
            <w:r w:rsidRPr="00BD6BB7">
              <w:rPr>
                <w:rFonts w:ascii="Arial" w:hAnsi="Arial" w:cs="Arial"/>
                <w:color w:val="000000" w:themeColor="text1"/>
              </w:rPr>
              <w:t>Faculty Deans</w:t>
            </w:r>
          </w:p>
        </w:tc>
        <w:tc>
          <w:tcPr>
            <w:tcW w:w="2409" w:type="dxa"/>
          </w:tcPr>
          <w:p w:rsidR="00D57168" w:rsidRPr="00BD6BB7" w:rsidRDefault="00D57168" w:rsidP="00573578">
            <w:pPr>
              <w:jc w:val="both"/>
              <w:rPr>
                <w:rFonts w:ascii="Arial" w:hAnsi="Arial" w:cs="Arial"/>
                <w:color w:val="000000" w:themeColor="text1"/>
              </w:rPr>
            </w:pPr>
            <w:r>
              <w:rPr>
                <w:rFonts w:ascii="Arial" w:hAnsi="Arial" w:cs="Arial"/>
              </w:rPr>
              <w:t xml:space="preserve">0.6 – 0.75 </w:t>
            </w:r>
            <w:r w:rsidRPr="00BD6BB7">
              <w:rPr>
                <w:rFonts w:ascii="Arial" w:hAnsi="Arial" w:cs="Arial"/>
                <w:color w:val="000000" w:themeColor="text1"/>
              </w:rPr>
              <w:t>FTE</w:t>
            </w:r>
          </w:p>
        </w:tc>
      </w:tr>
      <w:tr w:rsidR="00D57168" w:rsidRPr="00BD6BB7" w:rsidTr="00A96E0C">
        <w:tc>
          <w:tcPr>
            <w:tcW w:w="5103" w:type="dxa"/>
          </w:tcPr>
          <w:p w:rsidR="00D57168" w:rsidRPr="00BD6BB7" w:rsidRDefault="00D57168" w:rsidP="00573578">
            <w:pPr>
              <w:rPr>
                <w:rFonts w:ascii="Arial" w:hAnsi="Arial" w:cs="Arial"/>
                <w:color w:val="000000" w:themeColor="text1"/>
              </w:rPr>
            </w:pPr>
            <w:r w:rsidRPr="00BD6BB7">
              <w:rPr>
                <w:rFonts w:ascii="Arial" w:hAnsi="Arial" w:cs="Arial"/>
                <w:color w:val="000000" w:themeColor="text1"/>
              </w:rPr>
              <w:t>GRI Director</w:t>
            </w:r>
          </w:p>
        </w:tc>
        <w:tc>
          <w:tcPr>
            <w:tcW w:w="2409" w:type="dxa"/>
          </w:tcPr>
          <w:p w:rsidR="00D57168" w:rsidRPr="00BD6BB7" w:rsidRDefault="00D57168" w:rsidP="00573578">
            <w:pPr>
              <w:jc w:val="both"/>
              <w:rPr>
                <w:rFonts w:ascii="Arial" w:hAnsi="Arial" w:cs="Arial"/>
                <w:color w:val="000000" w:themeColor="text1"/>
              </w:rPr>
            </w:pPr>
            <w:r>
              <w:rPr>
                <w:rFonts w:ascii="Arial" w:hAnsi="Arial" w:cs="Arial"/>
              </w:rPr>
              <w:t>0.6 - 1.0</w:t>
            </w:r>
            <w:r>
              <w:rPr>
                <w:rFonts w:ascii="Arial" w:hAnsi="Arial" w:cs="Arial"/>
                <w:color w:val="000000" w:themeColor="text1"/>
              </w:rPr>
              <w:t xml:space="preserve"> </w:t>
            </w:r>
            <w:r w:rsidRPr="00BD6BB7">
              <w:rPr>
                <w:rFonts w:ascii="Arial" w:hAnsi="Arial" w:cs="Arial"/>
                <w:color w:val="000000" w:themeColor="text1"/>
              </w:rPr>
              <w:t>FTE</w:t>
            </w:r>
          </w:p>
        </w:tc>
      </w:tr>
      <w:tr w:rsidR="00D57168" w:rsidRPr="00BD6BB7" w:rsidTr="00A96E0C">
        <w:tc>
          <w:tcPr>
            <w:tcW w:w="5103" w:type="dxa"/>
          </w:tcPr>
          <w:p w:rsidR="00D57168" w:rsidRPr="00BD6BB7" w:rsidRDefault="00D57168" w:rsidP="00573578">
            <w:pPr>
              <w:rPr>
                <w:rFonts w:ascii="Arial" w:hAnsi="Arial" w:cs="Arial"/>
                <w:color w:val="000000" w:themeColor="text1"/>
              </w:rPr>
            </w:pPr>
            <w:r>
              <w:rPr>
                <w:rFonts w:ascii="Arial" w:hAnsi="Arial" w:cs="Arial"/>
                <w:color w:val="000000" w:themeColor="text1"/>
              </w:rPr>
              <w:t>Centre Director (MDBS)</w:t>
            </w:r>
          </w:p>
        </w:tc>
        <w:tc>
          <w:tcPr>
            <w:tcW w:w="2409" w:type="dxa"/>
          </w:tcPr>
          <w:p w:rsidR="00D57168" w:rsidRPr="00BD6BB7" w:rsidRDefault="00D57168" w:rsidP="00573578">
            <w:pPr>
              <w:jc w:val="both"/>
              <w:rPr>
                <w:rFonts w:ascii="Arial" w:hAnsi="Arial" w:cs="Arial"/>
                <w:color w:val="000000" w:themeColor="text1"/>
              </w:rPr>
            </w:pPr>
            <w:r>
              <w:rPr>
                <w:rFonts w:ascii="Arial" w:hAnsi="Arial" w:cs="Arial"/>
                <w:color w:val="000000" w:themeColor="text1"/>
              </w:rPr>
              <w:t>0.7</w:t>
            </w:r>
            <w:r w:rsidRPr="00BD6BB7">
              <w:rPr>
                <w:rFonts w:ascii="Arial" w:hAnsi="Arial" w:cs="Arial"/>
                <w:color w:val="000000" w:themeColor="text1"/>
              </w:rPr>
              <w:t xml:space="preserve"> FTE</w:t>
            </w:r>
          </w:p>
        </w:tc>
      </w:tr>
      <w:tr w:rsidR="00D57168" w:rsidRPr="00BD6BB7" w:rsidTr="00A96E0C">
        <w:trPr>
          <w:trHeight w:val="243"/>
        </w:trPr>
        <w:tc>
          <w:tcPr>
            <w:tcW w:w="5103" w:type="dxa"/>
          </w:tcPr>
          <w:p w:rsidR="00D57168" w:rsidRPr="00BD6BB7" w:rsidRDefault="00D57168" w:rsidP="00573578">
            <w:pPr>
              <w:rPr>
                <w:rFonts w:ascii="Arial" w:hAnsi="Arial" w:cs="Arial"/>
                <w:color w:val="000000" w:themeColor="text1"/>
              </w:rPr>
            </w:pPr>
            <w:r w:rsidRPr="00BD6BB7">
              <w:rPr>
                <w:rFonts w:ascii="Arial" w:hAnsi="Arial" w:cs="Arial"/>
                <w:color w:val="000000" w:themeColor="text1"/>
              </w:rPr>
              <w:t xml:space="preserve">SWAN Champion </w:t>
            </w:r>
          </w:p>
        </w:tc>
        <w:tc>
          <w:tcPr>
            <w:tcW w:w="2409" w:type="dxa"/>
          </w:tcPr>
          <w:p w:rsidR="00D57168" w:rsidRPr="00BD6BB7" w:rsidRDefault="00D57168" w:rsidP="00573578">
            <w:pPr>
              <w:rPr>
                <w:rFonts w:ascii="Arial" w:hAnsi="Arial" w:cs="Arial"/>
                <w:color w:val="000000" w:themeColor="text1"/>
              </w:rPr>
            </w:pPr>
            <w:r>
              <w:rPr>
                <w:rFonts w:ascii="Arial" w:hAnsi="Arial" w:cs="Arial"/>
                <w:color w:val="000000" w:themeColor="text1"/>
              </w:rPr>
              <w:t>0.5 – 1.5 days per week*</w:t>
            </w:r>
            <w:r w:rsidRPr="00BD6BB7">
              <w:rPr>
                <w:rFonts w:ascii="Arial" w:hAnsi="Arial" w:cs="Arial"/>
                <w:color w:val="000000" w:themeColor="text1"/>
              </w:rPr>
              <w:t xml:space="preserve"> </w:t>
            </w:r>
          </w:p>
        </w:tc>
      </w:tr>
      <w:tr w:rsidR="00D57168" w:rsidRPr="00BD6BB7" w:rsidTr="00A96E0C">
        <w:trPr>
          <w:trHeight w:val="243"/>
        </w:trPr>
        <w:tc>
          <w:tcPr>
            <w:tcW w:w="5103" w:type="dxa"/>
          </w:tcPr>
          <w:p w:rsidR="00D57168" w:rsidRPr="00BD6BB7" w:rsidRDefault="00D57168" w:rsidP="00573578">
            <w:pPr>
              <w:rPr>
                <w:rFonts w:ascii="Arial" w:hAnsi="Arial" w:cs="Arial"/>
                <w:color w:val="000000" w:themeColor="text1"/>
              </w:rPr>
            </w:pPr>
            <w:r w:rsidRPr="00BD6BB7">
              <w:rPr>
                <w:rFonts w:ascii="Arial" w:hAnsi="Arial" w:cs="Arial"/>
                <w:color w:val="000000" w:themeColor="text1"/>
              </w:rPr>
              <w:t xml:space="preserve">Deputy Head of School </w:t>
            </w:r>
          </w:p>
        </w:tc>
        <w:tc>
          <w:tcPr>
            <w:tcW w:w="2409" w:type="dxa"/>
          </w:tcPr>
          <w:p w:rsidR="00D57168" w:rsidRPr="00BD6BB7" w:rsidRDefault="00D57168" w:rsidP="00573578">
            <w:pPr>
              <w:jc w:val="both"/>
              <w:rPr>
                <w:rFonts w:ascii="Arial" w:hAnsi="Arial" w:cs="Arial"/>
                <w:color w:val="000000" w:themeColor="text1"/>
              </w:rPr>
            </w:pPr>
            <w:r>
              <w:rPr>
                <w:rFonts w:ascii="Arial" w:hAnsi="Arial" w:cs="Arial"/>
                <w:color w:val="000000" w:themeColor="text1"/>
              </w:rPr>
              <w:t>0.3 - 0.4</w:t>
            </w:r>
            <w:r w:rsidRPr="008D7DDC">
              <w:rPr>
                <w:rFonts w:ascii="Arial" w:hAnsi="Arial" w:cs="Arial"/>
                <w:color w:val="000000" w:themeColor="text1"/>
              </w:rPr>
              <w:t xml:space="preserve"> FTE</w:t>
            </w:r>
          </w:p>
        </w:tc>
      </w:tr>
      <w:tr w:rsidR="00D57168" w:rsidRPr="00BD6BB7" w:rsidTr="00A96E0C">
        <w:trPr>
          <w:trHeight w:val="243"/>
        </w:trPr>
        <w:tc>
          <w:tcPr>
            <w:tcW w:w="5103" w:type="dxa"/>
          </w:tcPr>
          <w:p w:rsidR="00D57168" w:rsidRPr="00BD6BB7" w:rsidRDefault="00D57168" w:rsidP="00573578">
            <w:pPr>
              <w:rPr>
                <w:rFonts w:ascii="Arial" w:hAnsi="Arial" w:cs="Arial"/>
                <w:color w:val="000000" w:themeColor="text1"/>
              </w:rPr>
            </w:pPr>
            <w:r w:rsidRPr="00BD6BB7">
              <w:rPr>
                <w:rFonts w:ascii="Arial" w:hAnsi="Arial" w:cs="Arial"/>
                <w:color w:val="000000" w:themeColor="text1"/>
              </w:rPr>
              <w:t>Director of Education</w:t>
            </w:r>
            <w:r>
              <w:rPr>
                <w:rFonts w:ascii="Arial" w:hAnsi="Arial" w:cs="Arial"/>
                <w:color w:val="000000" w:themeColor="text1"/>
              </w:rPr>
              <w:t>**</w:t>
            </w:r>
            <w:r w:rsidRPr="00BD6BB7" w:rsidDel="00417145">
              <w:rPr>
                <w:rFonts w:ascii="Arial" w:hAnsi="Arial" w:cs="Arial"/>
                <w:color w:val="000000" w:themeColor="text1"/>
              </w:rPr>
              <w:t xml:space="preserve"> </w:t>
            </w:r>
          </w:p>
        </w:tc>
        <w:tc>
          <w:tcPr>
            <w:tcW w:w="2409" w:type="dxa"/>
          </w:tcPr>
          <w:p w:rsidR="00D57168" w:rsidRPr="00BD6BB7" w:rsidRDefault="00D57168" w:rsidP="00573578">
            <w:pPr>
              <w:jc w:val="both"/>
              <w:rPr>
                <w:rFonts w:ascii="Arial" w:hAnsi="Arial" w:cs="Arial"/>
                <w:color w:val="000000" w:themeColor="text1"/>
              </w:rPr>
            </w:pPr>
            <w:r>
              <w:rPr>
                <w:rFonts w:ascii="Arial" w:hAnsi="Arial" w:cs="Arial"/>
                <w:color w:val="000000" w:themeColor="text1"/>
              </w:rPr>
              <w:t>0.3 - 0.7</w:t>
            </w:r>
            <w:r w:rsidRPr="008D7DDC">
              <w:rPr>
                <w:rFonts w:ascii="Arial" w:hAnsi="Arial" w:cs="Arial"/>
                <w:color w:val="000000" w:themeColor="text1"/>
              </w:rPr>
              <w:t xml:space="preserve"> FTE</w:t>
            </w:r>
          </w:p>
        </w:tc>
      </w:tr>
      <w:tr w:rsidR="00D57168" w:rsidRPr="00BD6BB7" w:rsidTr="00A96E0C">
        <w:trPr>
          <w:trHeight w:val="243"/>
        </w:trPr>
        <w:tc>
          <w:tcPr>
            <w:tcW w:w="5103" w:type="dxa"/>
          </w:tcPr>
          <w:p w:rsidR="00D57168" w:rsidRPr="00BD6BB7" w:rsidRDefault="00D57168" w:rsidP="00573578">
            <w:pPr>
              <w:rPr>
                <w:rFonts w:ascii="Arial" w:hAnsi="Arial" w:cs="Arial"/>
                <w:color w:val="000000" w:themeColor="text1"/>
              </w:rPr>
            </w:pPr>
            <w:r w:rsidRPr="00BD6BB7">
              <w:rPr>
                <w:rFonts w:ascii="Arial" w:hAnsi="Arial" w:cs="Arial"/>
                <w:color w:val="000000" w:themeColor="text1"/>
              </w:rPr>
              <w:t>Director of Research</w:t>
            </w:r>
            <w:r>
              <w:rPr>
                <w:rFonts w:ascii="Arial" w:hAnsi="Arial" w:cs="Arial"/>
                <w:color w:val="000000" w:themeColor="text1"/>
              </w:rPr>
              <w:t>**</w:t>
            </w:r>
          </w:p>
        </w:tc>
        <w:tc>
          <w:tcPr>
            <w:tcW w:w="2409" w:type="dxa"/>
          </w:tcPr>
          <w:p w:rsidR="00D57168" w:rsidRPr="00BD6BB7" w:rsidRDefault="00D57168" w:rsidP="00573578">
            <w:pPr>
              <w:jc w:val="both"/>
              <w:rPr>
                <w:rFonts w:ascii="Arial" w:hAnsi="Arial" w:cs="Arial"/>
                <w:color w:val="000000" w:themeColor="text1"/>
              </w:rPr>
            </w:pPr>
            <w:r>
              <w:rPr>
                <w:rFonts w:ascii="Arial" w:hAnsi="Arial" w:cs="Arial"/>
                <w:color w:val="000000" w:themeColor="text1"/>
              </w:rPr>
              <w:t>0.2 – 0.5</w:t>
            </w:r>
            <w:r w:rsidRPr="00BD6BB7">
              <w:rPr>
                <w:rFonts w:ascii="Arial" w:hAnsi="Arial" w:cs="Arial"/>
                <w:color w:val="000000" w:themeColor="text1"/>
              </w:rPr>
              <w:t xml:space="preserve"> FTE</w:t>
            </w:r>
          </w:p>
        </w:tc>
      </w:tr>
    </w:tbl>
    <w:p w:rsidR="00D57168" w:rsidRDefault="00D57168" w:rsidP="00D57168">
      <w:pPr>
        <w:pStyle w:val="paragraph"/>
        <w:spacing w:before="0" w:beforeAutospacing="0" w:after="0" w:afterAutospacing="0"/>
        <w:jc w:val="both"/>
        <w:textAlignment w:val="baseline"/>
        <w:rPr>
          <w:rFonts w:ascii="Arial" w:hAnsi="Arial" w:cs="Arial"/>
          <w:b/>
          <w:sz w:val="22"/>
          <w:szCs w:val="22"/>
        </w:rPr>
      </w:pPr>
    </w:p>
    <w:p w:rsidR="00D57168" w:rsidRDefault="00D57168" w:rsidP="00A96E0C">
      <w:pPr>
        <w:pStyle w:val="CommentText"/>
        <w:rPr>
          <w:rFonts w:ascii="Arial" w:hAnsi="Arial" w:cs="Arial"/>
          <w:iCs/>
          <w:sz w:val="22"/>
          <w:szCs w:val="22"/>
        </w:rPr>
      </w:pPr>
      <w:r w:rsidRPr="00617938">
        <w:rPr>
          <w:rFonts w:ascii="Arial" w:hAnsi="Arial" w:cs="Arial"/>
          <w:sz w:val="22"/>
          <w:szCs w:val="22"/>
        </w:rPr>
        <w:t xml:space="preserve">* </w:t>
      </w:r>
      <w:r w:rsidRPr="00617938">
        <w:rPr>
          <w:rFonts w:ascii="Arial" w:hAnsi="Arial" w:cs="Arial"/>
          <w:iCs/>
          <w:sz w:val="22"/>
          <w:szCs w:val="22"/>
        </w:rPr>
        <w:t xml:space="preserve">This range represents the minimum allocation of </w:t>
      </w:r>
      <w:r>
        <w:rPr>
          <w:rFonts w:ascii="Arial" w:hAnsi="Arial" w:cs="Arial"/>
          <w:iCs/>
          <w:sz w:val="22"/>
          <w:szCs w:val="22"/>
        </w:rPr>
        <w:t xml:space="preserve">0.5 </w:t>
      </w:r>
      <w:r w:rsidRPr="00617938">
        <w:rPr>
          <w:rFonts w:ascii="Arial" w:hAnsi="Arial" w:cs="Arial"/>
          <w:iCs/>
          <w:sz w:val="22"/>
          <w:szCs w:val="22"/>
        </w:rPr>
        <w:t xml:space="preserve">days a week in non-submission years rising to </w:t>
      </w:r>
      <w:r>
        <w:rPr>
          <w:rFonts w:ascii="Arial" w:hAnsi="Arial" w:cs="Arial"/>
          <w:iCs/>
          <w:sz w:val="22"/>
          <w:szCs w:val="22"/>
        </w:rPr>
        <w:t xml:space="preserve">1.5 </w:t>
      </w:r>
      <w:r w:rsidRPr="00617938">
        <w:rPr>
          <w:rFonts w:ascii="Arial" w:hAnsi="Arial" w:cs="Arial"/>
          <w:iCs/>
          <w:sz w:val="22"/>
          <w:szCs w:val="22"/>
        </w:rPr>
        <w:t>days a week in a submission year. This allocation is shared between Champions; a single Champion would get the full allocation, if there are two Champions the allocation would be shared (the share between Champions would depend on the specific allocation of work/roles to each Champion).</w:t>
      </w:r>
    </w:p>
    <w:p w:rsidR="00D57168" w:rsidRPr="00617938" w:rsidRDefault="00D57168" w:rsidP="00A96E0C">
      <w:pPr>
        <w:pStyle w:val="CommentText"/>
        <w:rPr>
          <w:rFonts w:ascii="Arial" w:hAnsi="Arial" w:cs="Arial"/>
          <w:sz w:val="22"/>
          <w:szCs w:val="22"/>
        </w:rPr>
      </w:pPr>
      <w:r>
        <w:rPr>
          <w:rFonts w:ascii="Arial" w:hAnsi="Arial" w:cs="Arial"/>
          <w:sz w:val="22"/>
          <w:szCs w:val="22"/>
        </w:rPr>
        <w:t>** Note some Schools have more than one DR</w:t>
      </w:r>
    </w:p>
    <w:p w:rsidR="00D57168" w:rsidRDefault="00D57168" w:rsidP="00D57168">
      <w:pPr>
        <w:pStyle w:val="paragraph"/>
        <w:spacing w:before="0" w:beforeAutospacing="0" w:after="0" w:afterAutospacing="0"/>
        <w:jc w:val="both"/>
        <w:textAlignment w:val="baseline"/>
        <w:rPr>
          <w:rFonts w:ascii="Arial" w:hAnsi="Arial" w:cs="Arial"/>
          <w:b/>
          <w:sz w:val="22"/>
          <w:szCs w:val="22"/>
        </w:rPr>
      </w:pPr>
    </w:p>
    <w:p w:rsidR="00D57168" w:rsidRDefault="00D57168" w:rsidP="00D57168">
      <w:pPr>
        <w:pStyle w:val="paragraph"/>
        <w:spacing w:before="0" w:beforeAutospacing="0" w:after="0" w:afterAutospacing="0"/>
        <w:jc w:val="both"/>
        <w:textAlignment w:val="baseline"/>
        <w:rPr>
          <w:rFonts w:ascii="Arial" w:hAnsi="Arial" w:cs="Arial"/>
          <w:b/>
          <w:sz w:val="22"/>
          <w:szCs w:val="22"/>
        </w:rPr>
      </w:pPr>
    </w:p>
    <w:p w:rsidR="00D57168" w:rsidRDefault="00D57168" w:rsidP="00D57168">
      <w:pPr>
        <w:pStyle w:val="paragraph"/>
        <w:spacing w:before="0" w:beforeAutospacing="0" w:after="0" w:afterAutospacing="0"/>
        <w:jc w:val="both"/>
        <w:textAlignment w:val="baseline"/>
        <w:rPr>
          <w:rFonts w:ascii="Arial" w:hAnsi="Arial" w:cs="Arial"/>
          <w:b/>
          <w:sz w:val="22"/>
          <w:szCs w:val="22"/>
        </w:rPr>
        <w:sectPr w:rsidR="00D57168">
          <w:pgSz w:w="11906" w:h="16838"/>
          <w:pgMar w:top="1440" w:right="1440" w:bottom="1440" w:left="1440" w:header="708" w:footer="708" w:gutter="0"/>
          <w:cols w:space="708"/>
          <w:docGrid w:linePitch="360"/>
        </w:sectPr>
      </w:pPr>
    </w:p>
    <w:p w:rsidR="00D57168" w:rsidRDefault="00D57168" w:rsidP="00D57168">
      <w:pPr>
        <w:pStyle w:val="paragraph"/>
        <w:spacing w:before="0" w:beforeAutospacing="0" w:after="0" w:afterAutospacing="0"/>
        <w:jc w:val="right"/>
        <w:textAlignment w:val="baseline"/>
        <w:rPr>
          <w:rFonts w:ascii="Arial" w:hAnsi="Arial" w:cs="Arial"/>
          <w:b/>
          <w:sz w:val="22"/>
          <w:szCs w:val="22"/>
        </w:rPr>
      </w:pPr>
      <w:r>
        <w:rPr>
          <w:rFonts w:ascii="Arial" w:hAnsi="Arial" w:cs="Arial"/>
          <w:b/>
          <w:sz w:val="22"/>
          <w:szCs w:val="22"/>
        </w:rPr>
        <w:lastRenderedPageBreak/>
        <w:t>Appendix 2</w:t>
      </w:r>
    </w:p>
    <w:p w:rsidR="00D57168" w:rsidRDefault="00D57168" w:rsidP="00D57168">
      <w:pPr>
        <w:pStyle w:val="paragraph"/>
        <w:spacing w:before="0" w:beforeAutospacing="0" w:after="0" w:afterAutospacing="0"/>
        <w:jc w:val="both"/>
        <w:textAlignment w:val="baseline"/>
        <w:rPr>
          <w:rFonts w:ascii="Arial" w:hAnsi="Arial" w:cs="Arial"/>
          <w:b/>
          <w:sz w:val="22"/>
          <w:szCs w:val="22"/>
        </w:rPr>
      </w:pPr>
    </w:p>
    <w:p w:rsidR="00D57168" w:rsidRPr="00F37B2A" w:rsidRDefault="00D57168" w:rsidP="00D57168">
      <w:pPr>
        <w:pStyle w:val="paragraph"/>
        <w:spacing w:before="0" w:beforeAutospacing="0" w:after="0" w:afterAutospacing="0"/>
        <w:jc w:val="both"/>
        <w:textAlignment w:val="baseline"/>
        <w:rPr>
          <w:rFonts w:ascii="Arial" w:hAnsi="Arial" w:cs="Arial"/>
          <w:sz w:val="22"/>
          <w:szCs w:val="22"/>
        </w:rPr>
      </w:pPr>
      <w:r w:rsidRPr="45870CCB">
        <w:rPr>
          <w:rFonts w:ascii="Arial" w:hAnsi="Arial" w:cs="Arial"/>
          <w:sz w:val="22"/>
          <w:szCs w:val="22"/>
        </w:rPr>
        <w:t xml:space="preserve">Sample </w:t>
      </w:r>
      <w:r>
        <w:rPr>
          <w:rFonts w:ascii="Arial" w:hAnsi="Arial" w:cs="Arial"/>
          <w:sz w:val="22"/>
          <w:szCs w:val="22"/>
        </w:rPr>
        <w:t xml:space="preserve">leadership roles </w:t>
      </w:r>
      <w:r w:rsidRPr="45870CCB">
        <w:rPr>
          <w:rFonts w:ascii="Arial" w:hAnsi="Arial" w:cs="Arial"/>
          <w:sz w:val="22"/>
          <w:szCs w:val="22"/>
        </w:rPr>
        <w:t xml:space="preserve">and activities </w:t>
      </w:r>
    </w:p>
    <w:p w:rsidR="00D57168" w:rsidRDefault="00D57168" w:rsidP="00D57168">
      <w:pPr>
        <w:pStyle w:val="paragraph"/>
        <w:spacing w:before="0" w:beforeAutospacing="0" w:after="0" w:afterAutospacing="0"/>
        <w:jc w:val="both"/>
        <w:textAlignment w:val="baseline"/>
        <w:rPr>
          <w:rFonts w:ascii="Arial" w:hAnsi="Arial" w:cs="Arial"/>
          <w:sz w:val="22"/>
          <w:szCs w:val="22"/>
        </w:rPr>
      </w:pPr>
    </w:p>
    <w:p w:rsidR="00D57168" w:rsidRPr="002833D0" w:rsidRDefault="00D57168" w:rsidP="00D57168">
      <w:pPr>
        <w:pStyle w:val="NoSpacing"/>
        <w:rPr>
          <w:rFonts w:ascii="Arial" w:hAnsi="Arial" w:cs="Arial"/>
        </w:rPr>
      </w:pPr>
      <w:r w:rsidRPr="002833D0">
        <w:rPr>
          <w:rFonts w:ascii="Arial" w:hAnsi="Arial" w:cs="Arial"/>
        </w:rPr>
        <w:t>Pioneer Research Programme Director</w:t>
      </w:r>
    </w:p>
    <w:p w:rsidR="00D57168" w:rsidRPr="002833D0" w:rsidRDefault="00D57168" w:rsidP="00D57168">
      <w:pPr>
        <w:pStyle w:val="NoSpacing"/>
        <w:rPr>
          <w:rFonts w:ascii="Arial" w:hAnsi="Arial" w:cs="Arial"/>
        </w:rPr>
      </w:pPr>
      <w:r w:rsidRPr="002833D0">
        <w:rPr>
          <w:rFonts w:ascii="Arial" w:hAnsi="Arial" w:cs="Arial"/>
        </w:rPr>
        <w:t>Director(s) of Education - UG</w:t>
      </w:r>
    </w:p>
    <w:p w:rsidR="00D57168" w:rsidRPr="002833D0" w:rsidRDefault="00D57168" w:rsidP="00D57168">
      <w:pPr>
        <w:pStyle w:val="NoSpacing"/>
        <w:rPr>
          <w:rFonts w:ascii="Arial" w:hAnsi="Arial" w:cs="Arial"/>
        </w:rPr>
      </w:pPr>
      <w:r w:rsidRPr="002833D0">
        <w:rPr>
          <w:rFonts w:ascii="Arial" w:hAnsi="Arial" w:cs="Arial"/>
        </w:rPr>
        <w:t>Examinations Officer (ELO)</w:t>
      </w:r>
    </w:p>
    <w:p w:rsidR="00D57168" w:rsidRPr="002833D0" w:rsidRDefault="00D57168" w:rsidP="00D57168">
      <w:pPr>
        <w:pStyle w:val="NoSpacing"/>
        <w:rPr>
          <w:rFonts w:ascii="Arial" w:hAnsi="Arial" w:cs="Arial"/>
        </w:rPr>
      </w:pPr>
      <w:r w:rsidRPr="002833D0">
        <w:rPr>
          <w:rFonts w:ascii="Arial" w:hAnsi="Arial" w:cs="Arial"/>
        </w:rPr>
        <w:t>Director of UG Admissions/Academic selector</w:t>
      </w:r>
    </w:p>
    <w:p w:rsidR="00D57168" w:rsidRPr="002833D0" w:rsidRDefault="00D57168" w:rsidP="00D57168">
      <w:pPr>
        <w:pStyle w:val="NoSpacing"/>
        <w:rPr>
          <w:rFonts w:ascii="Arial" w:hAnsi="Arial" w:cs="Arial"/>
        </w:rPr>
      </w:pPr>
      <w:r w:rsidRPr="002833D0">
        <w:rPr>
          <w:rFonts w:ascii="Arial" w:hAnsi="Arial" w:cs="Arial"/>
        </w:rPr>
        <w:t>UG Degree Board Convenor/Programme or Subject Convenor</w:t>
      </w:r>
    </w:p>
    <w:p w:rsidR="00D57168" w:rsidRPr="002833D0" w:rsidRDefault="00D57168" w:rsidP="00D57168">
      <w:pPr>
        <w:pStyle w:val="NoSpacing"/>
        <w:rPr>
          <w:rFonts w:ascii="Arial" w:hAnsi="Arial" w:cs="Arial"/>
        </w:rPr>
      </w:pPr>
      <w:r w:rsidRPr="002833D0">
        <w:rPr>
          <w:rFonts w:ascii="Arial" w:hAnsi="Arial" w:cs="Arial"/>
        </w:rPr>
        <w:t>UG Advisor of Studies</w:t>
      </w:r>
    </w:p>
    <w:p w:rsidR="00D57168" w:rsidRPr="002833D0" w:rsidRDefault="00D57168" w:rsidP="00D57168">
      <w:pPr>
        <w:pStyle w:val="NoSpacing"/>
        <w:rPr>
          <w:rFonts w:ascii="Arial" w:hAnsi="Arial" w:cs="Arial"/>
        </w:rPr>
      </w:pPr>
      <w:r w:rsidRPr="002833D0">
        <w:rPr>
          <w:rFonts w:ascii="Arial" w:hAnsi="Arial" w:cs="Arial"/>
        </w:rPr>
        <w:t>Module Coordinator - all UG or PGT modules</w:t>
      </w:r>
    </w:p>
    <w:p w:rsidR="00D57168" w:rsidRPr="002833D0" w:rsidRDefault="00D57168" w:rsidP="00D57168">
      <w:pPr>
        <w:pStyle w:val="NoSpacing"/>
        <w:rPr>
          <w:rFonts w:ascii="Arial" w:hAnsi="Arial" w:cs="Arial"/>
        </w:rPr>
      </w:pPr>
      <w:r w:rsidRPr="002833D0">
        <w:rPr>
          <w:rFonts w:ascii="Arial" w:hAnsi="Arial" w:cs="Arial"/>
        </w:rPr>
        <w:t>Chair of UG Staff/Student Consultative Committee</w:t>
      </w:r>
    </w:p>
    <w:p w:rsidR="00D57168" w:rsidRPr="002833D0" w:rsidRDefault="00D57168" w:rsidP="00D57168">
      <w:pPr>
        <w:pStyle w:val="NoSpacing"/>
        <w:rPr>
          <w:rFonts w:ascii="Arial" w:hAnsi="Arial" w:cs="Arial"/>
        </w:rPr>
      </w:pPr>
      <w:r w:rsidRPr="002833D0">
        <w:rPr>
          <w:rFonts w:ascii="Arial" w:hAnsi="Arial" w:cs="Arial"/>
        </w:rPr>
        <w:t>Study Abroad Coordinator/International Student Officer</w:t>
      </w:r>
    </w:p>
    <w:p w:rsidR="00D57168" w:rsidRPr="002833D0" w:rsidRDefault="00D57168" w:rsidP="00D57168">
      <w:pPr>
        <w:pStyle w:val="NoSpacing"/>
        <w:rPr>
          <w:rFonts w:ascii="Arial" w:hAnsi="Arial" w:cs="Arial"/>
        </w:rPr>
      </w:pPr>
      <w:r w:rsidRPr="002833D0">
        <w:rPr>
          <w:rFonts w:ascii="Arial" w:hAnsi="Arial" w:cs="Arial"/>
        </w:rPr>
        <w:t>Personal Tutor (UG students only)</w:t>
      </w:r>
    </w:p>
    <w:p w:rsidR="00D57168" w:rsidRPr="002833D0" w:rsidRDefault="00D57168" w:rsidP="00D57168">
      <w:pPr>
        <w:pStyle w:val="NoSpacing"/>
        <w:rPr>
          <w:rFonts w:ascii="Arial" w:hAnsi="Arial" w:cs="Arial"/>
        </w:rPr>
      </w:pPr>
      <w:r w:rsidRPr="002833D0">
        <w:rPr>
          <w:rFonts w:ascii="Arial" w:hAnsi="Arial" w:cs="Arial"/>
        </w:rPr>
        <w:t>Student Disability Officer</w:t>
      </w:r>
    </w:p>
    <w:p w:rsidR="00D57168" w:rsidRPr="002833D0" w:rsidRDefault="00D57168" w:rsidP="00D57168">
      <w:pPr>
        <w:pStyle w:val="NoSpacing"/>
        <w:rPr>
          <w:rFonts w:ascii="Arial" w:hAnsi="Arial" w:cs="Arial"/>
        </w:rPr>
      </w:pPr>
      <w:r w:rsidRPr="002833D0">
        <w:rPr>
          <w:rFonts w:ascii="Arial" w:hAnsi="Arial" w:cs="Arial"/>
        </w:rPr>
        <w:t>Student Support Officer/Chair of Student Support Committee</w:t>
      </w:r>
    </w:p>
    <w:p w:rsidR="00D57168" w:rsidRPr="002833D0" w:rsidRDefault="00D57168" w:rsidP="00D57168">
      <w:pPr>
        <w:pStyle w:val="NoSpacing"/>
        <w:rPr>
          <w:rFonts w:ascii="Arial" w:hAnsi="Arial" w:cs="Arial"/>
        </w:rPr>
      </w:pPr>
      <w:r w:rsidRPr="002833D0">
        <w:rPr>
          <w:rFonts w:ascii="Arial" w:hAnsi="Arial" w:cs="Arial"/>
        </w:rPr>
        <w:t>Member of Student Support Committee</w:t>
      </w:r>
    </w:p>
    <w:p w:rsidR="00D57168" w:rsidRPr="002833D0" w:rsidRDefault="00D57168" w:rsidP="00D57168">
      <w:pPr>
        <w:pStyle w:val="NoSpacing"/>
        <w:rPr>
          <w:rFonts w:ascii="Arial" w:hAnsi="Arial" w:cs="Arial"/>
        </w:rPr>
      </w:pPr>
      <w:r>
        <w:rPr>
          <w:rFonts w:ascii="Arial" w:hAnsi="Arial" w:cs="Arial"/>
        </w:rPr>
        <w:t>Supporting Staff Networks, e.g. PRISM, iRise, Staff Forum etc.</w:t>
      </w:r>
    </w:p>
    <w:p w:rsidR="00D57168" w:rsidRPr="002833D0" w:rsidRDefault="00D57168" w:rsidP="00D57168">
      <w:pPr>
        <w:pStyle w:val="NoSpacing"/>
        <w:rPr>
          <w:rFonts w:ascii="Arial" w:hAnsi="Arial" w:cs="Arial"/>
        </w:rPr>
      </w:pPr>
      <w:r w:rsidRPr="002833D0">
        <w:rPr>
          <w:rFonts w:ascii="Arial" w:hAnsi="Arial" w:cs="Arial"/>
        </w:rPr>
        <w:t>Chair of Exceptional Circumstances Board</w:t>
      </w:r>
    </w:p>
    <w:p w:rsidR="00D57168" w:rsidRPr="002833D0" w:rsidRDefault="00D57168" w:rsidP="00D57168">
      <w:pPr>
        <w:pStyle w:val="NoSpacing"/>
        <w:rPr>
          <w:rFonts w:ascii="Arial" w:hAnsi="Arial" w:cs="Arial"/>
        </w:rPr>
      </w:pPr>
      <w:r w:rsidRPr="002833D0">
        <w:rPr>
          <w:rFonts w:ascii="Arial" w:hAnsi="Arial" w:cs="Arial"/>
        </w:rPr>
        <w:t>Student Work Placement Coordinator</w:t>
      </w:r>
    </w:p>
    <w:p w:rsidR="00D57168" w:rsidRPr="002833D0" w:rsidRDefault="00D57168" w:rsidP="00D57168">
      <w:pPr>
        <w:pStyle w:val="NoSpacing"/>
        <w:rPr>
          <w:rFonts w:ascii="Arial" w:hAnsi="Arial" w:cs="Arial"/>
        </w:rPr>
      </w:pPr>
      <w:r w:rsidRPr="002833D0">
        <w:rPr>
          <w:rFonts w:ascii="Arial" w:hAnsi="Arial" w:cs="Arial"/>
        </w:rPr>
        <w:t>Summer Studentships/Work Experience Coordinator</w:t>
      </w:r>
    </w:p>
    <w:p w:rsidR="00D57168" w:rsidRPr="002833D0" w:rsidRDefault="00D57168" w:rsidP="00D57168">
      <w:pPr>
        <w:pStyle w:val="NoSpacing"/>
        <w:rPr>
          <w:rFonts w:ascii="Arial" w:hAnsi="Arial" w:cs="Arial"/>
        </w:rPr>
      </w:pPr>
      <w:r>
        <w:rPr>
          <w:rFonts w:ascii="Arial" w:hAnsi="Arial" w:cs="Arial"/>
        </w:rPr>
        <w:t>Work Placement Visits</w:t>
      </w:r>
    </w:p>
    <w:p w:rsidR="00D57168" w:rsidRPr="002833D0" w:rsidRDefault="00D57168" w:rsidP="00D57168">
      <w:pPr>
        <w:pStyle w:val="NoSpacing"/>
        <w:rPr>
          <w:rFonts w:ascii="Arial" w:hAnsi="Arial" w:cs="Arial"/>
        </w:rPr>
      </w:pPr>
      <w:r w:rsidRPr="002833D0">
        <w:rPr>
          <w:rFonts w:ascii="Arial" w:hAnsi="Arial" w:cs="Arial"/>
        </w:rPr>
        <w:t>Year lead</w:t>
      </w:r>
    </w:p>
    <w:p w:rsidR="00D57168" w:rsidRPr="002833D0" w:rsidRDefault="00D57168" w:rsidP="00D57168">
      <w:pPr>
        <w:pStyle w:val="NoSpacing"/>
        <w:rPr>
          <w:rFonts w:ascii="Arial" w:hAnsi="Arial" w:cs="Arial"/>
        </w:rPr>
      </w:pPr>
      <w:r w:rsidRPr="002833D0">
        <w:rPr>
          <w:rFonts w:ascii="Arial" w:hAnsi="Arial" w:cs="Arial"/>
        </w:rPr>
        <w:t>Professional lead</w:t>
      </w:r>
    </w:p>
    <w:p w:rsidR="00D57168" w:rsidRPr="002833D0" w:rsidRDefault="00D57168" w:rsidP="00D57168">
      <w:pPr>
        <w:pStyle w:val="NoSpacing"/>
        <w:rPr>
          <w:rFonts w:ascii="Arial" w:hAnsi="Arial" w:cs="Arial"/>
        </w:rPr>
      </w:pPr>
      <w:r w:rsidRPr="002833D0">
        <w:rPr>
          <w:rFonts w:ascii="Arial" w:hAnsi="Arial" w:cs="Arial"/>
        </w:rPr>
        <w:t>External examiner (teaching)</w:t>
      </w:r>
    </w:p>
    <w:p w:rsidR="00D57168" w:rsidRPr="002833D0" w:rsidRDefault="00D57168" w:rsidP="00D57168">
      <w:pPr>
        <w:pStyle w:val="NoSpacing"/>
        <w:rPr>
          <w:rFonts w:ascii="Arial" w:hAnsi="Arial" w:cs="Arial"/>
        </w:rPr>
      </w:pPr>
      <w:r w:rsidRPr="002833D0">
        <w:rPr>
          <w:rFonts w:ascii="Arial" w:hAnsi="Arial" w:cs="Arial"/>
        </w:rPr>
        <w:t>Director of Education - PG Taught</w:t>
      </w:r>
    </w:p>
    <w:p w:rsidR="00D57168" w:rsidRPr="002833D0" w:rsidRDefault="00D57168" w:rsidP="00D57168">
      <w:pPr>
        <w:pStyle w:val="NoSpacing"/>
        <w:rPr>
          <w:rFonts w:ascii="Arial" w:hAnsi="Arial" w:cs="Arial"/>
        </w:rPr>
      </w:pPr>
      <w:r w:rsidRPr="002833D0">
        <w:rPr>
          <w:rFonts w:ascii="Arial" w:hAnsi="Arial" w:cs="Arial"/>
        </w:rPr>
        <w:t>Director of PG Research (incl. Chair PGR Committee)</w:t>
      </w:r>
    </w:p>
    <w:p w:rsidR="00D57168" w:rsidRPr="002833D0" w:rsidRDefault="00D57168" w:rsidP="00D57168">
      <w:pPr>
        <w:pStyle w:val="NoSpacing"/>
        <w:rPr>
          <w:rFonts w:ascii="Arial" w:hAnsi="Arial" w:cs="Arial"/>
        </w:rPr>
      </w:pPr>
      <w:r w:rsidRPr="002833D0">
        <w:rPr>
          <w:rFonts w:ascii="Arial" w:hAnsi="Arial" w:cs="Arial"/>
        </w:rPr>
        <w:t>Coordinator of PG Differentiation Panel</w:t>
      </w:r>
    </w:p>
    <w:p w:rsidR="00D57168" w:rsidRPr="002833D0" w:rsidRDefault="00D57168" w:rsidP="00D57168">
      <w:pPr>
        <w:pStyle w:val="NoSpacing"/>
        <w:rPr>
          <w:rFonts w:ascii="Arial" w:hAnsi="Arial" w:cs="Arial"/>
        </w:rPr>
      </w:pPr>
      <w:r w:rsidRPr="002833D0">
        <w:rPr>
          <w:rFonts w:ascii="Arial" w:hAnsi="Arial" w:cs="Arial"/>
        </w:rPr>
        <w:t>Member of PG Differentiation/APR Panel</w:t>
      </w:r>
    </w:p>
    <w:p w:rsidR="00D57168" w:rsidRPr="002833D0" w:rsidRDefault="00D57168" w:rsidP="00D57168">
      <w:pPr>
        <w:pStyle w:val="NoSpacing"/>
        <w:rPr>
          <w:rFonts w:ascii="Arial" w:hAnsi="Arial" w:cs="Arial"/>
        </w:rPr>
      </w:pPr>
      <w:r w:rsidRPr="002833D0">
        <w:rPr>
          <w:rFonts w:ascii="Arial" w:hAnsi="Arial" w:cs="Arial"/>
        </w:rPr>
        <w:t>PGT Advisor of Studies/ personal tutor</w:t>
      </w:r>
    </w:p>
    <w:p w:rsidR="00D57168" w:rsidRPr="002833D0" w:rsidRDefault="00D57168" w:rsidP="00D57168">
      <w:pPr>
        <w:pStyle w:val="NoSpacing"/>
        <w:rPr>
          <w:rFonts w:ascii="Arial" w:hAnsi="Arial" w:cs="Arial"/>
        </w:rPr>
      </w:pPr>
      <w:r w:rsidRPr="002833D0">
        <w:rPr>
          <w:rFonts w:ascii="Arial" w:hAnsi="Arial" w:cs="Arial"/>
        </w:rPr>
        <w:t>PGT Programme/Pathway lead for NMC approved courses</w:t>
      </w:r>
    </w:p>
    <w:p w:rsidR="00D57168" w:rsidRPr="002833D0" w:rsidRDefault="00D57168" w:rsidP="00D57168">
      <w:pPr>
        <w:pStyle w:val="NoSpacing"/>
        <w:rPr>
          <w:rFonts w:ascii="Arial" w:hAnsi="Arial" w:cs="Arial"/>
        </w:rPr>
      </w:pPr>
      <w:r w:rsidRPr="002833D0">
        <w:rPr>
          <w:rFonts w:ascii="Arial" w:hAnsi="Arial" w:cs="Arial"/>
        </w:rPr>
        <w:t>Chair of PG Staff/Student Consultative Committee</w:t>
      </w:r>
    </w:p>
    <w:p w:rsidR="00D57168" w:rsidRPr="002833D0" w:rsidRDefault="00D57168" w:rsidP="00D57168">
      <w:pPr>
        <w:pStyle w:val="NoSpacing"/>
        <w:rPr>
          <w:rFonts w:ascii="Arial" w:hAnsi="Arial" w:cs="Arial"/>
        </w:rPr>
      </w:pPr>
      <w:r w:rsidRPr="002833D0">
        <w:rPr>
          <w:rFonts w:ascii="Arial" w:hAnsi="Arial" w:cs="Arial"/>
        </w:rPr>
        <w:t>Postgraduate Symposium Coordinator</w:t>
      </w:r>
    </w:p>
    <w:p w:rsidR="00D57168" w:rsidRPr="002833D0" w:rsidRDefault="00D57168" w:rsidP="00D57168">
      <w:pPr>
        <w:pStyle w:val="NoSpacing"/>
        <w:rPr>
          <w:rFonts w:ascii="Arial" w:hAnsi="Arial" w:cs="Arial"/>
        </w:rPr>
      </w:pPr>
      <w:r w:rsidRPr="002833D0">
        <w:rPr>
          <w:rFonts w:ascii="Arial" w:hAnsi="Arial" w:cs="Arial"/>
        </w:rPr>
        <w:t>QUB convenor for MPhil and PhD viva</w:t>
      </w:r>
    </w:p>
    <w:p w:rsidR="00D57168" w:rsidRPr="002833D0" w:rsidRDefault="00D57168" w:rsidP="00D57168">
      <w:pPr>
        <w:pStyle w:val="NoSpacing"/>
        <w:rPr>
          <w:rFonts w:ascii="Arial" w:hAnsi="Arial" w:cs="Arial"/>
        </w:rPr>
      </w:pPr>
      <w:r w:rsidRPr="002833D0">
        <w:rPr>
          <w:rFonts w:ascii="Arial" w:hAnsi="Arial" w:cs="Arial"/>
        </w:rPr>
        <w:t>Examiner for MPhil and PhD viva</w:t>
      </w:r>
    </w:p>
    <w:p w:rsidR="00D57168" w:rsidRPr="002833D0" w:rsidRDefault="00D57168" w:rsidP="00D57168">
      <w:pPr>
        <w:pStyle w:val="NoSpacing"/>
        <w:rPr>
          <w:rFonts w:ascii="Arial" w:hAnsi="Arial" w:cs="Arial"/>
        </w:rPr>
      </w:pPr>
      <w:r w:rsidRPr="002833D0">
        <w:rPr>
          <w:rFonts w:ascii="Arial" w:hAnsi="Arial" w:cs="Arial"/>
        </w:rPr>
        <w:t>Director of Research/Research Group/Cluster Lead</w:t>
      </w:r>
    </w:p>
    <w:p w:rsidR="00D57168" w:rsidRPr="002833D0" w:rsidRDefault="00D57168" w:rsidP="00D57168">
      <w:pPr>
        <w:pStyle w:val="NoSpacing"/>
        <w:rPr>
          <w:rFonts w:ascii="Arial" w:hAnsi="Arial" w:cs="Arial"/>
        </w:rPr>
      </w:pPr>
      <w:r w:rsidRPr="002833D0">
        <w:rPr>
          <w:rFonts w:ascii="Arial" w:hAnsi="Arial" w:cs="Arial"/>
        </w:rPr>
        <w:t>REF Champion</w:t>
      </w:r>
    </w:p>
    <w:p w:rsidR="00D57168" w:rsidRPr="002833D0" w:rsidRDefault="00D57168" w:rsidP="00D57168">
      <w:pPr>
        <w:pStyle w:val="NoSpacing"/>
        <w:rPr>
          <w:rFonts w:ascii="Arial" w:hAnsi="Arial" w:cs="Arial"/>
        </w:rPr>
      </w:pPr>
      <w:r w:rsidRPr="002833D0">
        <w:rPr>
          <w:rFonts w:ascii="Arial" w:hAnsi="Arial" w:cs="Arial"/>
        </w:rPr>
        <w:t>REF outputs reviewer</w:t>
      </w:r>
    </w:p>
    <w:p w:rsidR="00D57168" w:rsidRPr="002833D0" w:rsidRDefault="00D57168" w:rsidP="00D57168">
      <w:pPr>
        <w:pStyle w:val="NoSpacing"/>
        <w:rPr>
          <w:rFonts w:ascii="Arial" w:hAnsi="Arial" w:cs="Arial"/>
        </w:rPr>
      </w:pPr>
      <w:r w:rsidRPr="002833D0">
        <w:rPr>
          <w:rFonts w:ascii="Arial" w:hAnsi="Arial" w:cs="Arial"/>
        </w:rPr>
        <w:t xml:space="preserve">Chair of Research Ethics Committee </w:t>
      </w:r>
    </w:p>
    <w:p w:rsidR="00D57168" w:rsidRPr="002833D0" w:rsidRDefault="00D57168" w:rsidP="00D57168">
      <w:pPr>
        <w:pStyle w:val="NoSpacing"/>
        <w:rPr>
          <w:rFonts w:ascii="Arial" w:hAnsi="Arial" w:cs="Arial"/>
        </w:rPr>
      </w:pPr>
      <w:r w:rsidRPr="002833D0">
        <w:rPr>
          <w:rFonts w:ascii="Arial" w:hAnsi="Arial" w:cs="Arial"/>
        </w:rPr>
        <w:t>Member of School Ethics Committee</w:t>
      </w:r>
    </w:p>
    <w:p w:rsidR="00D57168" w:rsidRPr="002833D0" w:rsidRDefault="00D57168" w:rsidP="00D57168">
      <w:pPr>
        <w:pStyle w:val="NoSpacing"/>
        <w:rPr>
          <w:rFonts w:ascii="Arial" w:hAnsi="Arial" w:cs="Arial"/>
        </w:rPr>
      </w:pPr>
      <w:r w:rsidRPr="002833D0">
        <w:rPr>
          <w:rFonts w:ascii="Arial" w:hAnsi="Arial" w:cs="Arial"/>
        </w:rPr>
        <w:t>Director of Internationalisation</w:t>
      </w:r>
    </w:p>
    <w:p w:rsidR="00D57168" w:rsidRPr="002833D0" w:rsidRDefault="00D57168" w:rsidP="00D57168">
      <w:pPr>
        <w:pStyle w:val="NoSpacing"/>
        <w:rPr>
          <w:rFonts w:ascii="Arial" w:hAnsi="Arial" w:cs="Arial"/>
        </w:rPr>
      </w:pPr>
      <w:r w:rsidRPr="002833D0">
        <w:rPr>
          <w:rFonts w:ascii="Arial" w:hAnsi="Arial" w:cs="Arial"/>
        </w:rPr>
        <w:t>Athena Swan Champion</w:t>
      </w:r>
    </w:p>
    <w:p w:rsidR="00D57168" w:rsidRPr="002833D0" w:rsidRDefault="00D57168" w:rsidP="00D57168">
      <w:pPr>
        <w:pStyle w:val="NoSpacing"/>
        <w:rPr>
          <w:rFonts w:ascii="Arial" w:hAnsi="Arial" w:cs="Arial"/>
        </w:rPr>
      </w:pPr>
      <w:r w:rsidRPr="002833D0">
        <w:rPr>
          <w:rFonts w:ascii="Arial" w:hAnsi="Arial" w:cs="Arial"/>
        </w:rPr>
        <w:t>Member of Athena Swan Self-Assessment Team</w:t>
      </w:r>
    </w:p>
    <w:p w:rsidR="00D57168" w:rsidRPr="002833D0" w:rsidRDefault="00D57168" w:rsidP="00D57168">
      <w:pPr>
        <w:pStyle w:val="NoSpacing"/>
        <w:rPr>
          <w:rFonts w:ascii="Arial" w:hAnsi="Arial" w:cs="Arial"/>
        </w:rPr>
      </w:pPr>
      <w:r w:rsidRPr="002833D0">
        <w:rPr>
          <w:rFonts w:ascii="Arial" w:hAnsi="Arial" w:cs="Arial"/>
        </w:rPr>
        <w:t>Quality and Student Support Champion</w:t>
      </w:r>
    </w:p>
    <w:p w:rsidR="00D57168" w:rsidRPr="002833D0" w:rsidRDefault="00D57168" w:rsidP="00D57168">
      <w:pPr>
        <w:pStyle w:val="NoSpacing"/>
        <w:rPr>
          <w:rFonts w:ascii="Arial" w:hAnsi="Arial" w:cs="Arial"/>
        </w:rPr>
      </w:pPr>
      <w:r w:rsidRPr="002833D0">
        <w:rPr>
          <w:rFonts w:ascii="Arial" w:hAnsi="Arial" w:cs="Arial"/>
        </w:rPr>
        <w:t>Staff Development Champion</w:t>
      </w:r>
    </w:p>
    <w:p w:rsidR="00D57168" w:rsidRPr="002833D0" w:rsidRDefault="00D57168" w:rsidP="00D57168">
      <w:pPr>
        <w:pStyle w:val="NoSpacing"/>
        <w:rPr>
          <w:rFonts w:ascii="Arial" w:hAnsi="Arial" w:cs="Arial"/>
        </w:rPr>
      </w:pPr>
      <w:r w:rsidRPr="002833D0">
        <w:rPr>
          <w:rFonts w:ascii="Arial" w:hAnsi="Arial" w:cs="Arial"/>
        </w:rPr>
        <w:t>Lead for CPD and PG</w:t>
      </w:r>
    </w:p>
    <w:p w:rsidR="00D57168" w:rsidRPr="002833D0" w:rsidRDefault="00D57168" w:rsidP="00D57168">
      <w:pPr>
        <w:pStyle w:val="NoSpacing"/>
        <w:rPr>
          <w:rFonts w:ascii="Arial" w:hAnsi="Arial" w:cs="Arial"/>
        </w:rPr>
      </w:pPr>
      <w:r w:rsidRPr="002833D0">
        <w:rPr>
          <w:rFonts w:ascii="Arial" w:hAnsi="Arial" w:cs="Arial"/>
        </w:rPr>
        <w:t>Academic Lead for Student Experience</w:t>
      </w:r>
    </w:p>
    <w:p w:rsidR="00D57168" w:rsidRPr="002833D0" w:rsidRDefault="00D57168" w:rsidP="00D57168">
      <w:pPr>
        <w:pStyle w:val="NoSpacing"/>
        <w:rPr>
          <w:rFonts w:ascii="Arial" w:hAnsi="Arial" w:cs="Arial"/>
        </w:rPr>
      </w:pPr>
      <w:r w:rsidRPr="002833D0">
        <w:rPr>
          <w:rFonts w:ascii="Arial" w:hAnsi="Arial" w:cs="Arial"/>
        </w:rPr>
        <w:t>Academic Lead for Equality</w:t>
      </w:r>
    </w:p>
    <w:p w:rsidR="00D57168" w:rsidRPr="002833D0" w:rsidRDefault="00D57168" w:rsidP="00D57168">
      <w:pPr>
        <w:pStyle w:val="NoSpacing"/>
        <w:rPr>
          <w:rFonts w:ascii="Arial" w:hAnsi="Arial" w:cs="Arial"/>
        </w:rPr>
      </w:pPr>
      <w:r w:rsidRPr="002833D0">
        <w:rPr>
          <w:rFonts w:ascii="Arial" w:hAnsi="Arial" w:cs="Arial"/>
        </w:rPr>
        <w:t>Simulation Lead</w:t>
      </w:r>
    </w:p>
    <w:p w:rsidR="00D57168" w:rsidRPr="002833D0" w:rsidRDefault="00D57168" w:rsidP="00D57168">
      <w:pPr>
        <w:pStyle w:val="NoSpacing"/>
        <w:rPr>
          <w:rFonts w:ascii="Arial" w:hAnsi="Arial" w:cs="Arial"/>
        </w:rPr>
      </w:pPr>
      <w:r w:rsidRPr="002833D0">
        <w:rPr>
          <w:rFonts w:ascii="Arial" w:hAnsi="Arial" w:cs="Arial"/>
        </w:rPr>
        <w:t>Academic Lead for Service Users and Carers</w:t>
      </w:r>
    </w:p>
    <w:p w:rsidR="00D57168" w:rsidRPr="002833D0" w:rsidRDefault="00D57168" w:rsidP="00D57168">
      <w:pPr>
        <w:pStyle w:val="NoSpacing"/>
        <w:rPr>
          <w:rFonts w:ascii="Arial" w:hAnsi="Arial" w:cs="Arial"/>
        </w:rPr>
      </w:pPr>
      <w:r w:rsidRPr="002833D0">
        <w:rPr>
          <w:rFonts w:ascii="Arial" w:hAnsi="Arial" w:cs="Arial"/>
        </w:rPr>
        <w:t>PDR Reviewer</w:t>
      </w:r>
    </w:p>
    <w:p w:rsidR="00D57168" w:rsidRPr="002833D0" w:rsidRDefault="00D57168" w:rsidP="00D57168">
      <w:pPr>
        <w:pStyle w:val="NoSpacing"/>
        <w:rPr>
          <w:rFonts w:ascii="Arial" w:hAnsi="Arial" w:cs="Arial"/>
        </w:rPr>
      </w:pPr>
      <w:r w:rsidRPr="002833D0">
        <w:rPr>
          <w:rFonts w:ascii="Arial" w:hAnsi="Arial" w:cs="Arial"/>
        </w:rPr>
        <w:lastRenderedPageBreak/>
        <w:t>Academic Progression Committee Member (for CiP)</w:t>
      </w:r>
    </w:p>
    <w:p w:rsidR="00D57168" w:rsidRPr="002833D0" w:rsidRDefault="00D57168" w:rsidP="00D57168">
      <w:pPr>
        <w:pStyle w:val="NoSpacing"/>
        <w:rPr>
          <w:rFonts w:ascii="Arial" w:hAnsi="Arial" w:cs="Arial"/>
        </w:rPr>
      </w:pPr>
      <w:r w:rsidRPr="002833D0">
        <w:rPr>
          <w:rFonts w:ascii="Arial" w:hAnsi="Arial" w:cs="Arial"/>
        </w:rPr>
        <w:t>Member of selection interview panel for new staff</w:t>
      </w:r>
    </w:p>
    <w:p w:rsidR="00D57168" w:rsidRPr="002833D0" w:rsidRDefault="00D57168" w:rsidP="00D57168">
      <w:pPr>
        <w:pStyle w:val="NoSpacing"/>
        <w:rPr>
          <w:rFonts w:ascii="Arial" w:hAnsi="Arial" w:cs="Arial"/>
        </w:rPr>
      </w:pPr>
      <w:r w:rsidRPr="002833D0">
        <w:rPr>
          <w:rFonts w:ascii="Arial" w:hAnsi="Arial" w:cs="Arial"/>
        </w:rPr>
        <w:t>Chair of other committee or working group at School or Faculty Level</w:t>
      </w:r>
    </w:p>
    <w:p w:rsidR="00D57168" w:rsidRPr="002833D0" w:rsidRDefault="00D57168" w:rsidP="00D57168">
      <w:pPr>
        <w:pStyle w:val="NoSpacing"/>
        <w:rPr>
          <w:rFonts w:ascii="Arial" w:hAnsi="Arial" w:cs="Arial"/>
        </w:rPr>
      </w:pPr>
      <w:r w:rsidRPr="002833D0">
        <w:rPr>
          <w:rFonts w:ascii="Arial" w:hAnsi="Arial" w:cs="Arial"/>
        </w:rPr>
        <w:t xml:space="preserve">Membership of other </w:t>
      </w:r>
      <w:r>
        <w:rPr>
          <w:rFonts w:ascii="Arial" w:hAnsi="Arial" w:cs="Arial"/>
        </w:rPr>
        <w:t>C</w:t>
      </w:r>
      <w:r w:rsidRPr="002833D0">
        <w:rPr>
          <w:rFonts w:ascii="Arial" w:hAnsi="Arial" w:cs="Arial"/>
        </w:rPr>
        <w:t>ommittee /Working Groups at School or Faculty level</w:t>
      </w:r>
    </w:p>
    <w:p w:rsidR="00D57168" w:rsidRPr="002833D0" w:rsidRDefault="00D57168" w:rsidP="00D57168">
      <w:pPr>
        <w:pStyle w:val="NoSpacing"/>
        <w:rPr>
          <w:rFonts w:ascii="Arial" w:hAnsi="Arial" w:cs="Arial"/>
        </w:rPr>
      </w:pPr>
      <w:r w:rsidRPr="002833D0">
        <w:rPr>
          <w:rFonts w:ascii="Arial" w:hAnsi="Arial" w:cs="Arial"/>
        </w:rPr>
        <w:t xml:space="preserve">Membership of other </w:t>
      </w:r>
      <w:r>
        <w:rPr>
          <w:rFonts w:ascii="Arial" w:hAnsi="Arial" w:cs="Arial"/>
        </w:rPr>
        <w:t>C</w:t>
      </w:r>
      <w:r w:rsidRPr="002833D0">
        <w:rPr>
          <w:rFonts w:ascii="Arial" w:hAnsi="Arial" w:cs="Arial"/>
        </w:rPr>
        <w:t>ommittee/Working Groups at Institutional level</w:t>
      </w:r>
    </w:p>
    <w:p w:rsidR="00D57168" w:rsidRPr="002833D0" w:rsidRDefault="00D57168" w:rsidP="00D57168">
      <w:pPr>
        <w:pStyle w:val="NoSpacing"/>
        <w:rPr>
          <w:rFonts w:ascii="Arial" w:hAnsi="Arial" w:cs="Arial"/>
        </w:rPr>
      </w:pPr>
      <w:r w:rsidRPr="002833D0">
        <w:rPr>
          <w:rFonts w:ascii="Arial" w:hAnsi="Arial" w:cs="Arial"/>
        </w:rPr>
        <w:t>Other external partner committee membership</w:t>
      </w:r>
    </w:p>
    <w:p w:rsidR="00D57168" w:rsidRPr="002833D0" w:rsidRDefault="00D57168" w:rsidP="00D57168">
      <w:pPr>
        <w:pStyle w:val="NoSpacing"/>
        <w:rPr>
          <w:rFonts w:ascii="Arial" w:hAnsi="Arial" w:cs="Arial"/>
        </w:rPr>
      </w:pPr>
      <w:r w:rsidRPr="002833D0">
        <w:rPr>
          <w:rFonts w:ascii="Arial" w:hAnsi="Arial" w:cs="Arial"/>
        </w:rPr>
        <w:t>University Service (Major Committees e.g. Senate)</w:t>
      </w:r>
    </w:p>
    <w:p w:rsidR="00D57168" w:rsidRPr="002833D0" w:rsidRDefault="00D57168" w:rsidP="00D57168">
      <w:pPr>
        <w:pStyle w:val="NoSpacing"/>
        <w:rPr>
          <w:rFonts w:ascii="Arial" w:hAnsi="Arial" w:cs="Arial"/>
        </w:rPr>
      </w:pPr>
      <w:r w:rsidRPr="002833D0">
        <w:rPr>
          <w:rFonts w:ascii="Arial" w:hAnsi="Arial" w:cs="Arial"/>
        </w:rPr>
        <w:t>Member of UG Staff/Student Consultative Committee</w:t>
      </w:r>
    </w:p>
    <w:p w:rsidR="00D57168" w:rsidRPr="002833D0" w:rsidRDefault="00D57168" w:rsidP="00D57168">
      <w:pPr>
        <w:pStyle w:val="NoSpacing"/>
        <w:rPr>
          <w:rFonts w:ascii="Arial" w:hAnsi="Arial" w:cs="Arial"/>
        </w:rPr>
      </w:pPr>
      <w:r w:rsidRPr="002833D0">
        <w:rPr>
          <w:rFonts w:ascii="Arial" w:hAnsi="Arial" w:cs="Arial"/>
        </w:rPr>
        <w:t>Academic Offences Panel Member</w:t>
      </w:r>
    </w:p>
    <w:p w:rsidR="00D57168" w:rsidRPr="002833D0" w:rsidRDefault="00D57168" w:rsidP="00D57168">
      <w:pPr>
        <w:pStyle w:val="NoSpacing"/>
        <w:rPr>
          <w:rFonts w:ascii="Arial" w:hAnsi="Arial" w:cs="Arial"/>
        </w:rPr>
      </w:pPr>
      <w:r w:rsidRPr="002833D0">
        <w:rPr>
          <w:rFonts w:ascii="Arial" w:hAnsi="Arial" w:cs="Arial"/>
        </w:rPr>
        <w:t>Investigations for Health &amp; Conduct committee</w:t>
      </w:r>
    </w:p>
    <w:p w:rsidR="00D57168" w:rsidRPr="002833D0" w:rsidRDefault="00D57168" w:rsidP="00D57168">
      <w:pPr>
        <w:pStyle w:val="NoSpacing"/>
        <w:rPr>
          <w:rFonts w:ascii="Arial" w:hAnsi="Arial" w:cs="Arial"/>
        </w:rPr>
      </w:pPr>
      <w:r w:rsidRPr="002833D0">
        <w:rPr>
          <w:rFonts w:ascii="Arial" w:hAnsi="Arial" w:cs="Arial"/>
        </w:rPr>
        <w:t>Student Peer Mentoring Coordinator</w:t>
      </w:r>
    </w:p>
    <w:p w:rsidR="00D57168" w:rsidRPr="002833D0" w:rsidRDefault="00D57168" w:rsidP="00D57168">
      <w:pPr>
        <w:pStyle w:val="NoSpacing"/>
        <w:rPr>
          <w:rFonts w:ascii="Arial" w:hAnsi="Arial" w:cs="Arial"/>
        </w:rPr>
      </w:pPr>
      <w:r w:rsidRPr="002833D0">
        <w:rPr>
          <w:rFonts w:ascii="Arial" w:hAnsi="Arial" w:cs="Arial"/>
        </w:rPr>
        <w:t>Open Day Contributor</w:t>
      </w:r>
    </w:p>
    <w:p w:rsidR="00D57168" w:rsidRPr="002833D0" w:rsidRDefault="00D57168" w:rsidP="00D57168">
      <w:pPr>
        <w:pStyle w:val="NoSpacing"/>
        <w:rPr>
          <w:rFonts w:ascii="Arial" w:hAnsi="Arial" w:cs="Arial"/>
        </w:rPr>
      </w:pPr>
      <w:r w:rsidRPr="002833D0">
        <w:rPr>
          <w:rFonts w:ascii="Arial" w:hAnsi="Arial" w:cs="Arial"/>
        </w:rPr>
        <w:t>Attendance at graduation</w:t>
      </w:r>
    </w:p>
    <w:p w:rsidR="00D57168" w:rsidRPr="002833D0" w:rsidRDefault="00D57168" w:rsidP="00D57168">
      <w:pPr>
        <w:pStyle w:val="NoSpacing"/>
        <w:rPr>
          <w:rFonts w:ascii="Arial" w:hAnsi="Arial" w:cs="Arial"/>
        </w:rPr>
      </w:pPr>
      <w:r w:rsidRPr="002833D0">
        <w:rPr>
          <w:rFonts w:ascii="Arial" w:hAnsi="Arial" w:cs="Arial"/>
        </w:rPr>
        <w:t>School Library Representative</w:t>
      </w:r>
    </w:p>
    <w:p w:rsidR="00D57168" w:rsidRPr="002833D0" w:rsidRDefault="00D57168" w:rsidP="00D57168">
      <w:pPr>
        <w:pStyle w:val="NoSpacing"/>
        <w:rPr>
          <w:rFonts w:ascii="Arial" w:hAnsi="Arial" w:cs="Arial"/>
        </w:rPr>
      </w:pPr>
      <w:r w:rsidRPr="002833D0">
        <w:rPr>
          <w:rFonts w:ascii="Arial" w:hAnsi="Arial" w:cs="Arial"/>
        </w:rPr>
        <w:t>School Specific Outreach/Public Engagement activities</w:t>
      </w:r>
    </w:p>
    <w:p w:rsidR="00D57168" w:rsidRPr="002833D0" w:rsidRDefault="00D57168" w:rsidP="00D57168">
      <w:pPr>
        <w:pStyle w:val="NoSpacing"/>
        <w:rPr>
          <w:rFonts w:ascii="Arial" w:hAnsi="Arial" w:cs="Arial"/>
        </w:rPr>
      </w:pPr>
      <w:r w:rsidRPr="002833D0">
        <w:rPr>
          <w:rFonts w:ascii="Arial" w:hAnsi="Arial" w:cs="Arial"/>
        </w:rPr>
        <w:t>School Representative at Open Day events</w:t>
      </w:r>
    </w:p>
    <w:p w:rsidR="00D57168" w:rsidRPr="002833D0" w:rsidRDefault="00D57168" w:rsidP="00D57168">
      <w:pPr>
        <w:pStyle w:val="NoSpacing"/>
        <w:rPr>
          <w:rFonts w:ascii="Arial" w:hAnsi="Arial" w:cs="Arial"/>
        </w:rPr>
      </w:pPr>
      <w:r w:rsidRPr="002833D0">
        <w:rPr>
          <w:rFonts w:ascii="Arial" w:hAnsi="Arial" w:cs="Arial"/>
        </w:rPr>
        <w:t>School Talk presenter</w:t>
      </w:r>
    </w:p>
    <w:p w:rsidR="00D57168" w:rsidRPr="002833D0" w:rsidRDefault="00D57168" w:rsidP="00D57168">
      <w:pPr>
        <w:pStyle w:val="NoSpacing"/>
        <w:rPr>
          <w:rFonts w:ascii="Arial" w:hAnsi="Arial" w:cs="Arial"/>
        </w:rPr>
      </w:pPr>
      <w:r w:rsidRPr="002833D0">
        <w:rPr>
          <w:rFonts w:ascii="Arial" w:hAnsi="Arial" w:cs="Arial"/>
        </w:rPr>
        <w:t>Academic Postdoc Forum member</w:t>
      </w:r>
    </w:p>
    <w:p w:rsidR="00D57168" w:rsidRDefault="00D57168" w:rsidP="00D57168">
      <w:pPr>
        <w:pStyle w:val="NoSpacing"/>
        <w:rPr>
          <w:rFonts w:ascii="Arial" w:hAnsi="Arial" w:cs="Arial"/>
        </w:rPr>
      </w:pPr>
      <w:r w:rsidRPr="002833D0">
        <w:rPr>
          <w:rFonts w:ascii="Arial" w:hAnsi="Arial" w:cs="Arial"/>
        </w:rPr>
        <w:t>Fire Warden/ First Aid Officer</w:t>
      </w:r>
    </w:p>
    <w:p w:rsidR="00D57168" w:rsidRPr="002833D0" w:rsidRDefault="00D57168" w:rsidP="00D57168">
      <w:pPr>
        <w:pStyle w:val="NoSpacing"/>
        <w:rPr>
          <w:rFonts w:ascii="Arial" w:hAnsi="Arial" w:cs="Arial"/>
        </w:rPr>
      </w:pPr>
      <w:r w:rsidRPr="002833D0">
        <w:rPr>
          <w:rFonts w:ascii="Arial" w:hAnsi="Arial" w:cs="Arial"/>
        </w:rPr>
        <w:t xml:space="preserve">Other mentor (excluding for </w:t>
      </w:r>
      <w:r>
        <w:rPr>
          <w:rFonts w:ascii="Arial" w:hAnsi="Arial" w:cs="Arial"/>
        </w:rPr>
        <w:t>academic progression</w:t>
      </w:r>
      <w:r w:rsidRPr="002833D0">
        <w:rPr>
          <w:rFonts w:ascii="Arial" w:hAnsi="Arial" w:cs="Arial"/>
        </w:rPr>
        <w:t>)</w:t>
      </w:r>
    </w:p>
    <w:p w:rsidR="00D57168" w:rsidRPr="000A7A41" w:rsidRDefault="00D57168" w:rsidP="00D57168">
      <w:pPr>
        <w:pStyle w:val="paragraph"/>
        <w:spacing w:before="0" w:beforeAutospacing="0" w:after="0" w:afterAutospacing="0"/>
        <w:jc w:val="both"/>
        <w:textAlignment w:val="baseline"/>
        <w:rPr>
          <w:rFonts w:ascii="Arial" w:hAnsi="Arial" w:cs="Arial"/>
          <w:sz w:val="22"/>
          <w:szCs w:val="22"/>
        </w:rPr>
      </w:pPr>
    </w:p>
    <w:p w:rsidR="00D57168" w:rsidRDefault="00D57168" w:rsidP="00D57168">
      <w:pPr>
        <w:pStyle w:val="paragraph"/>
        <w:spacing w:before="0" w:beforeAutospacing="0" w:after="0" w:afterAutospacing="0"/>
        <w:jc w:val="both"/>
        <w:textAlignment w:val="baseline"/>
        <w:rPr>
          <w:rFonts w:ascii="Arial" w:hAnsi="Arial" w:cs="Arial"/>
          <w:sz w:val="22"/>
          <w:szCs w:val="22"/>
        </w:rPr>
      </w:pPr>
      <w:r w:rsidRPr="009F7A3D">
        <w:rPr>
          <w:rFonts w:ascii="Arial" w:hAnsi="Arial" w:cs="Arial"/>
          <w:sz w:val="22"/>
          <w:szCs w:val="22"/>
        </w:rPr>
        <w:t xml:space="preserve">Notes: </w:t>
      </w:r>
    </w:p>
    <w:p w:rsidR="00D57168" w:rsidRPr="009F7A3D" w:rsidRDefault="00D57168" w:rsidP="00D57168">
      <w:pPr>
        <w:pStyle w:val="paragraph"/>
        <w:spacing w:before="0" w:beforeAutospacing="0" w:after="0" w:afterAutospacing="0"/>
        <w:jc w:val="both"/>
        <w:textAlignment w:val="baseline"/>
        <w:rPr>
          <w:rFonts w:ascii="Arial" w:hAnsi="Arial" w:cs="Arial"/>
          <w:sz w:val="22"/>
          <w:szCs w:val="22"/>
        </w:rPr>
      </w:pPr>
    </w:p>
    <w:p w:rsidR="00D57168" w:rsidRDefault="00D57168" w:rsidP="00D57168">
      <w:pPr>
        <w:pStyle w:val="paragraph"/>
        <w:numPr>
          <w:ilvl w:val="0"/>
          <w:numId w:val="10"/>
        </w:numPr>
        <w:spacing w:before="0" w:beforeAutospacing="0" w:after="0" w:afterAutospacing="0"/>
        <w:jc w:val="both"/>
        <w:textAlignment w:val="baseline"/>
        <w:rPr>
          <w:rFonts w:ascii="Arial" w:hAnsi="Arial" w:cs="Arial"/>
          <w:sz w:val="22"/>
          <w:szCs w:val="22"/>
        </w:rPr>
      </w:pPr>
      <w:r w:rsidRPr="00A11241">
        <w:rPr>
          <w:rFonts w:ascii="Arial" w:hAnsi="Arial" w:cs="Arial"/>
          <w:sz w:val="22"/>
          <w:szCs w:val="22"/>
        </w:rPr>
        <w:t>The above list is not exhaustive</w:t>
      </w:r>
      <w:r>
        <w:rPr>
          <w:rFonts w:ascii="Arial" w:hAnsi="Arial" w:cs="Arial"/>
          <w:sz w:val="22"/>
          <w:szCs w:val="22"/>
        </w:rPr>
        <w:t>.</w:t>
      </w:r>
    </w:p>
    <w:p w:rsidR="00D57168" w:rsidRDefault="00D57168" w:rsidP="00D57168">
      <w:pPr>
        <w:pStyle w:val="paragraph"/>
        <w:spacing w:before="0" w:beforeAutospacing="0" w:after="0" w:afterAutospacing="0"/>
        <w:jc w:val="both"/>
        <w:textAlignment w:val="baseline"/>
        <w:rPr>
          <w:rFonts w:ascii="Arial" w:hAnsi="Arial" w:cs="Arial"/>
          <w:sz w:val="22"/>
          <w:szCs w:val="22"/>
        </w:rPr>
      </w:pPr>
    </w:p>
    <w:p w:rsidR="00D57168" w:rsidRPr="00A11241" w:rsidRDefault="00D57168" w:rsidP="00D57168">
      <w:pPr>
        <w:pStyle w:val="paragraph"/>
        <w:numPr>
          <w:ilvl w:val="0"/>
          <w:numId w:val="10"/>
        </w:numPr>
        <w:spacing w:before="0" w:beforeAutospacing="0" w:after="0" w:afterAutospacing="0"/>
        <w:jc w:val="both"/>
        <w:textAlignment w:val="baseline"/>
        <w:rPr>
          <w:rFonts w:ascii="Arial" w:hAnsi="Arial" w:cs="Arial"/>
          <w:sz w:val="22"/>
          <w:szCs w:val="22"/>
        </w:rPr>
      </w:pPr>
      <w:r w:rsidRPr="45870CCB">
        <w:rPr>
          <w:rFonts w:ascii="Arial" w:hAnsi="Arial" w:cs="Arial"/>
          <w:sz w:val="22"/>
          <w:szCs w:val="22"/>
        </w:rPr>
        <w:t>Colleagues may carry out a number the above roles, some of which due to their scope may not have a dedicated allocation within the model, it is therefore important that the cumulative effort of these contributions are recognised.</w:t>
      </w:r>
    </w:p>
    <w:p w:rsidR="00D57168" w:rsidRDefault="00D57168" w:rsidP="00D57168">
      <w:pPr>
        <w:pStyle w:val="paragraph"/>
        <w:spacing w:before="0" w:beforeAutospacing="0" w:after="0" w:afterAutospacing="0"/>
        <w:jc w:val="both"/>
        <w:textAlignment w:val="baseline"/>
        <w:rPr>
          <w:rFonts w:ascii="Segoe UI" w:hAnsi="Segoe UI" w:cs="Segoe UI"/>
          <w:sz w:val="18"/>
          <w:szCs w:val="18"/>
        </w:rPr>
      </w:pPr>
    </w:p>
    <w:p w:rsidR="00D57168" w:rsidRPr="00635F57" w:rsidRDefault="00D57168" w:rsidP="00D57168">
      <w:pPr>
        <w:pStyle w:val="paragraph"/>
        <w:spacing w:before="0" w:beforeAutospacing="0" w:after="0" w:afterAutospacing="0"/>
        <w:jc w:val="both"/>
        <w:textAlignment w:val="baseline"/>
        <w:rPr>
          <w:rFonts w:ascii="Segoe UI" w:hAnsi="Segoe UI" w:cs="Segoe UI"/>
          <w:sz w:val="18"/>
          <w:szCs w:val="18"/>
        </w:rPr>
      </w:pPr>
    </w:p>
    <w:p w:rsidR="00020A55" w:rsidRPr="00C31553" w:rsidRDefault="00020A55" w:rsidP="00403A9D">
      <w:pPr>
        <w:ind w:right="-330"/>
        <w:jc w:val="right"/>
        <w:rPr>
          <w:rFonts w:ascii="Arial" w:hAnsi="Arial" w:cs="Arial"/>
        </w:rPr>
      </w:pPr>
    </w:p>
    <w:sectPr w:rsidR="00020A55" w:rsidRPr="00C31553" w:rsidSect="001219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CE9" w:rsidRDefault="009D6CE9" w:rsidP="004E4B20">
      <w:pPr>
        <w:spacing w:after="0" w:line="240" w:lineRule="auto"/>
      </w:pPr>
      <w:r>
        <w:separator/>
      </w:r>
    </w:p>
  </w:endnote>
  <w:endnote w:type="continuationSeparator" w:id="0">
    <w:p w:rsidR="009D6CE9" w:rsidRDefault="009D6CE9" w:rsidP="004E4B20">
      <w:pPr>
        <w:spacing w:after="0" w:line="240" w:lineRule="auto"/>
      </w:pPr>
      <w:r>
        <w:continuationSeparator/>
      </w:r>
    </w:p>
  </w:endnote>
  <w:endnote w:type="continuationNotice" w:id="1">
    <w:p w:rsidR="009D6CE9" w:rsidRDefault="009D6C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0C6" w:rsidRPr="00A96E0C" w:rsidRDefault="00DD50C6">
    <w:pPr>
      <w:pStyle w:val="Footer"/>
      <w:rPr>
        <w:rFonts w:ascii="Arial" w:hAnsi="Arial" w:cs="Arial"/>
        <w:sz w:val="18"/>
      </w:rPr>
    </w:pPr>
    <w:r w:rsidRPr="00A96E0C">
      <w:rPr>
        <w:rFonts w:ascii="Arial" w:hAnsi="Arial" w:cs="Arial"/>
        <w:sz w:val="18"/>
      </w:rPr>
      <w:t>Version 08/09/2020</w:t>
    </w:r>
  </w:p>
  <w:p w:rsidR="00DD50C6" w:rsidRDefault="00DD5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CE9" w:rsidRDefault="009D6CE9" w:rsidP="004E4B20">
      <w:pPr>
        <w:spacing w:after="0" w:line="240" w:lineRule="auto"/>
      </w:pPr>
      <w:r>
        <w:separator/>
      </w:r>
    </w:p>
  </w:footnote>
  <w:footnote w:type="continuationSeparator" w:id="0">
    <w:p w:rsidR="009D6CE9" w:rsidRDefault="009D6CE9" w:rsidP="004E4B20">
      <w:pPr>
        <w:spacing w:after="0" w:line="240" w:lineRule="auto"/>
      </w:pPr>
      <w:r>
        <w:continuationSeparator/>
      </w:r>
    </w:p>
  </w:footnote>
  <w:footnote w:type="continuationNotice" w:id="1">
    <w:p w:rsidR="009D6CE9" w:rsidRDefault="009D6C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168" w:rsidRPr="00F803E0" w:rsidRDefault="00D57168" w:rsidP="00F803E0">
    <w:pPr>
      <w:pStyle w:val="Header"/>
      <w:jc w:val="center"/>
      <w:rPr>
        <w:rFonts w:ascii="Arial" w:hAnsi="Arial" w:cs="Arial"/>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43F"/>
    <w:multiLevelType w:val="hybridMultilevel"/>
    <w:tmpl w:val="796A3504"/>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B73F16"/>
    <w:multiLevelType w:val="hybridMultilevel"/>
    <w:tmpl w:val="68B0C2F8"/>
    <w:lvl w:ilvl="0" w:tplc="69F8CE00">
      <w:start w:val="1"/>
      <w:numFmt w:val="lowerRoman"/>
      <w:lvlText w:val="%1."/>
      <w:lvlJc w:val="right"/>
      <w:pPr>
        <w:ind w:left="720" w:hanging="36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69033C"/>
    <w:multiLevelType w:val="multilevel"/>
    <w:tmpl w:val="864A49B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321BD1"/>
    <w:multiLevelType w:val="hybridMultilevel"/>
    <w:tmpl w:val="D494F0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3A7F8C"/>
    <w:multiLevelType w:val="hybridMultilevel"/>
    <w:tmpl w:val="655E297A"/>
    <w:lvl w:ilvl="0" w:tplc="7444F5DA">
      <w:start w:val="8"/>
      <w:numFmt w:val="bullet"/>
      <w:lvlText w:val=""/>
      <w:lvlJc w:val="left"/>
      <w:pPr>
        <w:ind w:left="1080" w:hanging="360"/>
      </w:pPr>
      <w:rPr>
        <w:rFonts w:ascii="Symbol" w:eastAsia="Calibri" w:hAnsi="Symbol"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16D17732"/>
    <w:multiLevelType w:val="hybridMultilevel"/>
    <w:tmpl w:val="11346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00645"/>
    <w:multiLevelType w:val="hybridMultilevel"/>
    <w:tmpl w:val="63D6799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510F6EFD"/>
    <w:multiLevelType w:val="hybridMultilevel"/>
    <w:tmpl w:val="F318A25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8" w15:restartNumberingAfterBreak="0">
    <w:nsid w:val="6B6F3DF1"/>
    <w:multiLevelType w:val="hybridMultilevel"/>
    <w:tmpl w:val="D494F0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066508E"/>
    <w:multiLevelType w:val="multilevel"/>
    <w:tmpl w:val="9328FC0E"/>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E001E1F"/>
    <w:multiLevelType w:val="hybridMultilevel"/>
    <w:tmpl w:val="796A3504"/>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8"/>
  </w:num>
  <w:num w:numId="7">
    <w:abstractNumId w:val="0"/>
  </w:num>
  <w:num w:numId="8">
    <w:abstractNumId w:val="10"/>
  </w:num>
  <w:num w:numId="9">
    <w:abstractNumId w:val="1"/>
  </w:num>
  <w:num w:numId="10">
    <w:abstractNumId w:val="3"/>
  </w:num>
  <w:num w:numId="11">
    <w:abstractNumId w:val="6"/>
  </w:num>
  <w:num w:numId="1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623CAB1-4126-4776-B343-91F813023605}"/>
    <w:docVar w:name="dgnword-eventsink" w:val="662625008"/>
  </w:docVars>
  <w:rsids>
    <w:rsidRoot w:val="006D327D"/>
    <w:rsid w:val="00005997"/>
    <w:rsid w:val="00010652"/>
    <w:rsid w:val="00016219"/>
    <w:rsid w:val="00020A55"/>
    <w:rsid w:val="00023973"/>
    <w:rsid w:val="00027DE3"/>
    <w:rsid w:val="000311A4"/>
    <w:rsid w:val="00032E66"/>
    <w:rsid w:val="00036CEF"/>
    <w:rsid w:val="00040E14"/>
    <w:rsid w:val="00041438"/>
    <w:rsid w:val="00042925"/>
    <w:rsid w:val="000532F8"/>
    <w:rsid w:val="00055AB7"/>
    <w:rsid w:val="00064619"/>
    <w:rsid w:val="00065BB9"/>
    <w:rsid w:val="00066D2B"/>
    <w:rsid w:val="00066DC6"/>
    <w:rsid w:val="000707DD"/>
    <w:rsid w:val="000720ED"/>
    <w:rsid w:val="00083F25"/>
    <w:rsid w:val="00084602"/>
    <w:rsid w:val="000941B6"/>
    <w:rsid w:val="000A0749"/>
    <w:rsid w:val="000B0343"/>
    <w:rsid w:val="000C5CD3"/>
    <w:rsid w:val="000D4711"/>
    <w:rsid w:val="000D47D2"/>
    <w:rsid w:val="000E3DDC"/>
    <w:rsid w:val="001006BA"/>
    <w:rsid w:val="001073BE"/>
    <w:rsid w:val="001104B7"/>
    <w:rsid w:val="001126F8"/>
    <w:rsid w:val="00116374"/>
    <w:rsid w:val="00121923"/>
    <w:rsid w:val="0012523E"/>
    <w:rsid w:val="001302CD"/>
    <w:rsid w:val="00132409"/>
    <w:rsid w:val="001371DE"/>
    <w:rsid w:val="00160D15"/>
    <w:rsid w:val="00180777"/>
    <w:rsid w:val="00181D20"/>
    <w:rsid w:val="0019091A"/>
    <w:rsid w:val="001A0B38"/>
    <w:rsid w:val="001A5580"/>
    <w:rsid w:val="001A6A4F"/>
    <w:rsid w:val="001B7867"/>
    <w:rsid w:val="001C0EA9"/>
    <w:rsid w:val="001C18F9"/>
    <w:rsid w:val="001D680D"/>
    <w:rsid w:val="001D706B"/>
    <w:rsid w:val="001F1817"/>
    <w:rsid w:val="00220FA1"/>
    <w:rsid w:val="00226B9D"/>
    <w:rsid w:val="00234971"/>
    <w:rsid w:val="00251001"/>
    <w:rsid w:val="0025271A"/>
    <w:rsid w:val="00254EE6"/>
    <w:rsid w:val="00260DB9"/>
    <w:rsid w:val="0026117B"/>
    <w:rsid w:val="00261682"/>
    <w:rsid w:val="002623B6"/>
    <w:rsid w:val="00270168"/>
    <w:rsid w:val="00281D44"/>
    <w:rsid w:val="00282188"/>
    <w:rsid w:val="00284BE9"/>
    <w:rsid w:val="0029012B"/>
    <w:rsid w:val="00292841"/>
    <w:rsid w:val="00296355"/>
    <w:rsid w:val="0029678A"/>
    <w:rsid w:val="002A0DD5"/>
    <w:rsid w:val="002B0CA5"/>
    <w:rsid w:val="002C3CCA"/>
    <w:rsid w:val="002E5FE3"/>
    <w:rsid w:val="002F2735"/>
    <w:rsid w:val="002F5085"/>
    <w:rsid w:val="00300228"/>
    <w:rsid w:val="00307BAC"/>
    <w:rsid w:val="00322FB9"/>
    <w:rsid w:val="0032793B"/>
    <w:rsid w:val="00331E4D"/>
    <w:rsid w:val="00341DB8"/>
    <w:rsid w:val="00343DD1"/>
    <w:rsid w:val="0034472B"/>
    <w:rsid w:val="003516D8"/>
    <w:rsid w:val="00352D45"/>
    <w:rsid w:val="00353E51"/>
    <w:rsid w:val="003579CA"/>
    <w:rsid w:val="003833BB"/>
    <w:rsid w:val="003938EB"/>
    <w:rsid w:val="0039564B"/>
    <w:rsid w:val="003B07A8"/>
    <w:rsid w:val="003B2D53"/>
    <w:rsid w:val="003E2964"/>
    <w:rsid w:val="003F1879"/>
    <w:rsid w:val="003F5931"/>
    <w:rsid w:val="003F677B"/>
    <w:rsid w:val="00400B86"/>
    <w:rsid w:val="00403A9D"/>
    <w:rsid w:val="00413D70"/>
    <w:rsid w:val="00424AC5"/>
    <w:rsid w:val="00424E0A"/>
    <w:rsid w:val="004264FC"/>
    <w:rsid w:val="00432803"/>
    <w:rsid w:val="004336EE"/>
    <w:rsid w:val="004355F2"/>
    <w:rsid w:val="00437A02"/>
    <w:rsid w:val="004451AA"/>
    <w:rsid w:val="00456DC0"/>
    <w:rsid w:val="0048102C"/>
    <w:rsid w:val="004A7014"/>
    <w:rsid w:val="004B152C"/>
    <w:rsid w:val="004C032A"/>
    <w:rsid w:val="004C1F05"/>
    <w:rsid w:val="004C50C8"/>
    <w:rsid w:val="004D743F"/>
    <w:rsid w:val="004E3BE0"/>
    <w:rsid w:val="004E4B20"/>
    <w:rsid w:val="004E6B00"/>
    <w:rsid w:val="0050233B"/>
    <w:rsid w:val="005030B1"/>
    <w:rsid w:val="005060A6"/>
    <w:rsid w:val="005132A1"/>
    <w:rsid w:val="0051437D"/>
    <w:rsid w:val="0053375C"/>
    <w:rsid w:val="005357CD"/>
    <w:rsid w:val="00535FC6"/>
    <w:rsid w:val="00536E27"/>
    <w:rsid w:val="00537CFB"/>
    <w:rsid w:val="00540233"/>
    <w:rsid w:val="0054056C"/>
    <w:rsid w:val="00545219"/>
    <w:rsid w:val="005610D5"/>
    <w:rsid w:val="005772DC"/>
    <w:rsid w:val="0058408F"/>
    <w:rsid w:val="00592A18"/>
    <w:rsid w:val="00592D09"/>
    <w:rsid w:val="0059547C"/>
    <w:rsid w:val="00597E7B"/>
    <w:rsid w:val="005A06BA"/>
    <w:rsid w:val="005B4D5A"/>
    <w:rsid w:val="005B6299"/>
    <w:rsid w:val="005C6B4A"/>
    <w:rsid w:val="005D1F14"/>
    <w:rsid w:val="005D296D"/>
    <w:rsid w:val="005D775A"/>
    <w:rsid w:val="005E0EC4"/>
    <w:rsid w:val="005F26A7"/>
    <w:rsid w:val="00600E46"/>
    <w:rsid w:val="006036D7"/>
    <w:rsid w:val="00611FF1"/>
    <w:rsid w:val="006144E3"/>
    <w:rsid w:val="0061545D"/>
    <w:rsid w:val="00616ECB"/>
    <w:rsid w:val="00622249"/>
    <w:rsid w:val="00630DC8"/>
    <w:rsid w:val="0063418D"/>
    <w:rsid w:val="00646617"/>
    <w:rsid w:val="00665FAE"/>
    <w:rsid w:val="0067295C"/>
    <w:rsid w:val="00673EC9"/>
    <w:rsid w:val="00675B02"/>
    <w:rsid w:val="00677A86"/>
    <w:rsid w:val="00682937"/>
    <w:rsid w:val="00687224"/>
    <w:rsid w:val="006A3022"/>
    <w:rsid w:val="006A75BE"/>
    <w:rsid w:val="006B4A20"/>
    <w:rsid w:val="006B5C76"/>
    <w:rsid w:val="006D327D"/>
    <w:rsid w:val="006D4C7F"/>
    <w:rsid w:val="006D759F"/>
    <w:rsid w:val="006E5C55"/>
    <w:rsid w:val="00711314"/>
    <w:rsid w:val="00714F71"/>
    <w:rsid w:val="007178D3"/>
    <w:rsid w:val="007210A5"/>
    <w:rsid w:val="00744654"/>
    <w:rsid w:val="00744807"/>
    <w:rsid w:val="00752BC4"/>
    <w:rsid w:val="00754063"/>
    <w:rsid w:val="00766651"/>
    <w:rsid w:val="00774BAD"/>
    <w:rsid w:val="00783E17"/>
    <w:rsid w:val="00794C23"/>
    <w:rsid w:val="00795C50"/>
    <w:rsid w:val="00796053"/>
    <w:rsid w:val="007B16C6"/>
    <w:rsid w:val="007C14AA"/>
    <w:rsid w:val="007C6B0D"/>
    <w:rsid w:val="007E7443"/>
    <w:rsid w:val="007F0341"/>
    <w:rsid w:val="00806C91"/>
    <w:rsid w:val="00807122"/>
    <w:rsid w:val="00814563"/>
    <w:rsid w:val="00821909"/>
    <w:rsid w:val="008229E2"/>
    <w:rsid w:val="0083073D"/>
    <w:rsid w:val="00832694"/>
    <w:rsid w:val="00841030"/>
    <w:rsid w:val="0085665D"/>
    <w:rsid w:val="0086669F"/>
    <w:rsid w:val="0087793C"/>
    <w:rsid w:val="00880F57"/>
    <w:rsid w:val="008832D1"/>
    <w:rsid w:val="00886634"/>
    <w:rsid w:val="00891E76"/>
    <w:rsid w:val="00897C39"/>
    <w:rsid w:val="008A138D"/>
    <w:rsid w:val="008A26AF"/>
    <w:rsid w:val="008C08E0"/>
    <w:rsid w:val="008C20DA"/>
    <w:rsid w:val="008C7297"/>
    <w:rsid w:val="008D084B"/>
    <w:rsid w:val="008D64DF"/>
    <w:rsid w:val="008D6FEB"/>
    <w:rsid w:val="008E00D3"/>
    <w:rsid w:val="008E420E"/>
    <w:rsid w:val="008F43F8"/>
    <w:rsid w:val="008F575C"/>
    <w:rsid w:val="008F5C89"/>
    <w:rsid w:val="008F6BEF"/>
    <w:rsid w:val="00905C6D"/>
    <w:rsid w:val="00912679"/>
    <w:rsid w:val="00927987"/>
    <w:rsid w:val="0094611D"/>
    <w:rsid w:val="00950839"/>
    <w:rsid w:val="00950C2F"/>
    <w:rsid w:val="009633CD"/>
    <w:rsid w:val="009653A0"/>
    <w:rsid w:val="00965695"/>
    <w:rsid w:val="009A1F10"/>
    <w:rsid w:val="009B1790"/>
    <w:rsid w:val="009B7E56"/>
    <w:rsid w:val="009C140F"/>
    <w:rsid w:val="009C28A8"/>
    <w:rsid w:val="009C331C"/>
    <w:rsid w:val="009C5052"/>
    <w:rsid w:val="009D5BA0"/>
    <w:rsid w:val="009D6CE9"/>
    <w:rsid w:val="009E01CF"/>
    <w:rsid w:val="009F1F94"/>
    <w:rsid w:val="00A043F8"/>
    <w:rsid w:val="00A07614"/>
    <w:rsid w:val="00A251FB"/>
    <w:rsid w:val="00A33A10"/>
    <w:rsid w:val="00A33EF9"/>
    <w:rsid w:val="00A3634C"/>
    <w:rsid w:val="00A42AE0"/>
    <w:rsid w:val="00A5657A"/>
    <w:rsid w:val="00A5712D"/>
    <w:rsid w:val="00A640E7"/>
    <w:rsid w:val="00A66D4F"/>
    <w:rsid w:val="00A7745A"/>
    <w:rsid w:val="00A777D7"/>
    <w:rsid w:val="00A82449"/>
    <w:rsid w:val="00A95E6B"/>
    <w:rsid w:val="00A96885"/>
    <w:rsid w:val="00A96E0C"/>
    <w:rsid w:val="00AA390F"/>
    <w:rsid w:val="00AA40A6"/>
    <w:rsid w:val="00AB750C"/>
    <w:rsid w:val="00AD22EA"/>
    <w:rsid w:val="00AD582D"/>
    <w:rsid w:val="00AD5DE7"/>
    <w:rsid w:val="00AE16AF"/>
    <w:rsid w:val="00AE6C2C"/>
    <w:rsid w:val="00AE7A19"/>
    <w:rsid w:val="00AF349E"/>
    <w:rsid w:val="00B018AA"/>
    <w:rsid w:val="00B04D62"/>
    <w:rsid w:val="00B14AA3"/>
    <w:rsid w:val="00B15B79"/>
    <w:rsid w:val="00B2074D"/>
    <w:rsid w:val="00B35CDF"/>
    <w:rsid w:val="00B44329"/>
    <w:rsid w:val="00B51C3D"/>
    <w:rsid w:val="00B52DF3"/>
    <w:rsid w:val="00B53057"/>
    <w:rsid w:val="00B57027"/>
    <w:rsid w:val="00B673E6"/>
    <w:rsid w:val="00B70251"/>
    <w:rsid w:val="00B73367"/>
    <w:rsid w:val="00B822A6"/>
    <w:rsid w:val="00B83613"/>
    <w:rsid w:val="00B95147"/>
    <w:rsid w:val="00B955A4"/>
    <w:rsid w:val="00B95C34"/>
    <w:rsid w:val="00BB2383"/>
    <w:rsid w:val="00BC0778"/>
    <w:rsid w:val="00BC38E9"/>
    <w:rsid w:val="00BC473E"/>
    <w:rsid w:val="00BC4882"/>
    <w:rsid w:val="00BD1425"/>
    <w:rsid w:val="00BD49B2"/>
    <w:rsid w:val="00BD766F"/>
    <w:rsid w:val="00BE189A"/>
    <w:rsid w:val="00BE38B1"/>
    <w:rsid w:val="00BE4844"/>
    <w:rsid w:val="00BE7897"/>
    <w:rsid w:val="00BF042E"/>
    <w:rsid w:val="00BF0505"/>
    <w:rsid w:val="00BF4F6C"/>
    <w:rsid w:val="00C142A1"/>
    <w:rsid w:val="00C31553"/>
    <w:rsid w:val="00C44FE7"/>
    <w:rsid w:val="00C46F4A"/>
    <w:rsid w:val="00C500CA"/>
    <w:rsid w:val="00C510D4"/>
    <w:rsid w:val="00C52E50"/>
    <w:rsid w:val="00C5432B"/>
    <w:rsid w:val="00C60035"/>
    <w:rsid w:val="00C609B3"/>
    <w:rsid w:val="00C62B5D"/>
    <w:rsid w:val="00C7435E"/>
    <w:rsid w:val="00C8671B"/>
    <w:rsid w:val="00C93647"/>
    <w:rsid w:val="00CA424C"/>
    <w:rsid w:val="00CB04B5"/>
    <w:rsid w:val="00CB11D7"/>
    <w:rsid w:val="00CC4BBF"/>
    <w:rsid w:val="00CD1027"/>
    <w:rsid w:val="00CD7637"/>
    <w:rsid w:val="00CE6533"/>
    <w:rsid w:val="00CF0C8B"/>
    <w:rsid w:val="00CF545E"/>
    <w:rsid w:val="00D11BC6"/>
    <w:rsid w:val="00D13713"/>
    <w:rsid w:val="00D15679"/>
    <w:rsid w:val="00D303A4"/>
    <w:rsid w:val="00D35167"/>
    <w:rsid w:val="00D43D99"/>
    <w:rsid w:val="00D45B3A"/>
    <w:rsid w:val="00D57168"/>
    <w:rsid w:val="00D57C33"/>
    <w:rsid w:val="00D65B9D"/>
    <w:rsid w:val="00D707BF"/>
    <w:rsid w:val="00D72B92"/>
    <w:rsid w:val="00D7628C"/>
    <w:rsid w:val="00D87825"/>
    <w:rsid w:val="00D90929"/>
    <w:rsid w:val="00D912D7"/>
    <w:rsid w:val="00D93C1D"/>
    <w:rsid w:val="00DB7849"/>
    <w:rsid w:val="00DB79BC"/>
    <w:rsid w:val="00DC2209"/>
    <w:rsid w:val="00DD13A3"/>
    <w:rsid w:val="00DD50C6"/>
    <w:rsid w:val="00DE166A"/>
    <w:rsid w:val="00DE3A1A"/>
    <w:rsid w:val="00DE5BA1"/>
    <w:rsid w:val="00DF48DF"/>
    <w:rsid w:val="00E02197"/>
    <w:rsid w:val="00E139D4"/>
    <w:rsid w:val="00E17DEC"/>
    <w:rsid w:val="00E22660"/>
    <w:rsid w:val="00E25B8F"/>
    <w:rsid w:val="00E26D68"/>
    <w:rsid w:val="00E30960"/>
    <w:rsid w:val="00E46ADA"/>
    <w:rsid w:val="00E46AF5"/>
    <w:rsid w:val="00E47A96"/>
    <w:rsid w:val="00E5186C"/>
    <w:rsid w:val="00E73DF8"/>
    <w:rsid w:val="00E865D6"/>
    <w:rsid w:val="00E92162"/>
    <w:rsid w:val="00E978DE"/>
    <w:rsid w:val="00EA2FF4"/>
    <w:rsid w:val="00EA4CFD"/>
    <w:rsid w:val="00EA709E"/>
    <w:rsid w:val="00EB3932"/>
    <w:rsid w:val="00EB6BB7"/>
    <w:rsid w:val="00ED34DB"/>
    <w:rsid w:val="00EE21B0"/>
    <w:rsid w:val="00EE5B2C"/>
    <w:rsid w:val="00EF0FC6"/>
    <w:rsid w:val="00F04464"/>
    <w:rsid w:val="00F04D95"/>
    <w:rsid w:val="00F12309"/>
    <w:rsid w:val="00F147EC"/>
    <w:rsid w:val="00F33880"/>
    <w:rsid w:val="00F34333"/>
    <w:rsid w:val="00F34E8E"/>
    <w:rsid w:val="00F35C74"/>
    <w:rsid w:val="00F519B3"/>
    <w:rsid w:val="00F52A79"/>
    <w:rsid w:val="00F54994"/>
    <w:rsid w:val="00F60689"/>
    <w:rsid w:val="00F73D68"/>
    <w:rsid w:val="00F96E36"/>
    <w:rsid w:val="00FB5794"/>
    <w:rsid w:val="00FB5DC2"/>
    <w:rsid w:val="00FC0E91"/>
    <w:rsid w:val="00FC190B"/>
    <w:rsid w:val="00FD6C85"/>
    <w:rsid w:val="00FE3A15"/>
    <w:rsid w:val="00FE4236"/>
    <w:rsid w:val="00FF23B0"/>
    <w:rsid w:val="00FF784D"/>
    <w:rsid w:val="00FF7F28"/>
    <w:rsid w:val="0B3B0E3B"/>
    <w:rsid w:val="1BF653CC"/>
    <w:rsid w:val="21E83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DAA3122-9A53-42B4-BB29-71C8B4B48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27D"/>
    <w:pPr>
      <w:ind w:left="720"/>
      <w:contextualSpacing/>
    </w:pPr>
  </w:style>
  <w:style w:type="paragraph" w:styleId="BalloonText">
    <w:name w:val="Balloon Text"/>
    <w:basedOn w:val="Normal"/>
    <w:link w:val="BalloonTextChar"/>
    <w:uiPriority w:val="99"/>
    <w:semiHidden/>
    <w:unhideWhenUsed/>
    <w:rsid w:val="002E5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FE3"/>
    <w:rPr>
      <w:rFonts w:ascii="Segoe UI" w:hAnsi="Segoe UI" w:cs="Segoe UI"/>
      <w:sz w:val="18"/>
      <w:szCs w:val="18"/>
    </w:rPr>
  </w:style>
  <w:style w:type="paragraph" w:styleId="Header">
    <w:name w:val="header"/>
    <w:basedOn w:val="Normal"/>
    <w:link w:val="HeaderChar"/>
    <w:uiPriority w:val="99"/>
    <w:unhideWhenUsed/>
    <w:rsid w:val="004E4B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B20"/>
  </w:style>
  <w:style w:type="paragraph" w:styleId="Footer">
    <w:name w:val="footer"/>
    <w:basedOn w:val="Normal"/>
    <w:link w:val="FooterChar"/>
    <w:uiPriority w:val="99"/>
    <w:unhideWhenUsed/>
    <w:rsid w:val="004E4B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B20"/>
  </w:style>
  <w:style w:type="paragraph" w:styleId="NormalWeb">
    <w:name w:val="Normal (Web)"/>
    <w:basedOn w:val="Normal"/>
    <w:uiPriority w:val="99"/>
    <w:semiHidden/>
    <w:unhideWhenUsed/>
    <w:rsid w:val="000C5C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C44FE7"/>
    <w:pPr>
      <w:spacing w:after="0" w:line="240" w:lineRule="auto"/>
    </w:pPr>
  </w:style>
  <w:style w:type="table" w:styleId="TableGrid">
    <w:name w:val="Table Grid"/>
    <w:basedOn w:val="TableNormal"/>
    <w:uiPriority w:val="39"/>
    <w:rsid w:val="00BC4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uiPriority w:val="34"/>
    <w:qFormat/>
    <w:rsid w:val="00D7628C"/>
    <w:pPr>
      <w:spacing w:after="200" w:line="276" w:lineRule="auto"/>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714F71"/>
    <w:rPr>
      <w:sz w:val="16"/>
      <w:szCs w:val="16"/>
    </w:rPr>
  </w:style>
  <w:style w:type="paragraph" w:styleId="CommentText">
    <w:name w:val="annotation text"/>
    <w:basedOn w:val="Normal"/>
    <w:link w:val="CommentTextChar"/>
    <w:uiPriority w:val="99"/>
    <w:unhideWhenUsed/>
    <w:rsid w:val="00714F71"/>
    <w:pPr>
      <w:spacing w:line="240" w:lineRule="auto"/>
    </w:pPr>
    <w:rPr>
      <w:sz w:val="20"/>
      <w:szCs w:val="20"/>
    </w:rPr>
  </w:style>
  <w:style w:type="character" w:customStyle="1" w:styleId="CommentTextChar">
    <w:name w:val="Comment Text Char"/>
    <w:basedOn w:val="DefaultParagraphFont"/>
    <w:link w:val="CommentText"/>
    <w:uiPriority w:val="99"/>
    <w:rsid w:val="00714F71"/>
    <w:rPr>
      <w:sz w:val="20"/>
      <w:szCs w:val="20"/>
    </w:rPr>
  </w:style>
  <w:style w:type="paragraph" w:styleId="CommentSubject">
    <w:name w:val="annotation subject"/>
    <w:basedOn w:val="CommentText"/>
    <w:next w:val="CommentText"/>
    <w:link w:val="CommentSubjectChar"/>
    <w:uiPriority w:val="99"/>
    <w:semiHidden/>
    <w:unhideWhenUsed/>
    <w:rsid w:val="00714F71"/>
    <w:rPr>
      <w:b/>
      <w:bCs/>
    </w:rPr>
  </w:style>
  <w:style w:type="character" w:customStyle="1" w:styleId="CommentSubjectChar">
    <w:name w:val="Comment Subject Char"/>
    <w:basedOn w:val="CommentTextChar"/>
    <w:link w:val="CommentSubject"/>
    <w:uiPriority w:val="99"/>
    <w:semiHidden/>
    <w:rsid w:val="00714F71"/>
    <w:rPr>
      <w:b/>
      <w:bCs/>
      <w:sz w:val="20"/>
      <w:szCs w:val="20"/>
    </w:rPr>
  </w:style>
  <w:style w:type="paragraph" w:customStyle="1" w:styleId="Default">
    <w:name w:val="Default"/>
    <w:rsid w:val="00020A5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57168"/>
    <w:rPr>
      <w:color w:val="0563C1" w:themeColor="hyperlink"/>
      <w:u w:val="single"/>
    </w:rPr>
  </w:style>
  <w:style w:type="paragraph" w:customStyle="1" w:styleId="paragraph">
    <w:name w:val="paragraph"/>
    <w:basedOn w:val="Normal"/>
    <w:rsid w:val="00D5716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3732">
      <w:bodyDiv w:val="1"/>
      <w:marLeft w:val="0"/>
      <w:marRight w:val="0"/>
      <w:marTop w:val="0"/>
      <w:marBottom w:val="0"/>
      <w:divBdr>
        <w:top w:val="none" w:sz="0" w:space="0" w:color="auto"/>
        <w:left w:val="none" w:sz="0" w:space="0" w:color="auto"/>
        <w:bottom w:val="none" w:sz="0" w:space="0" w:color="auto"/>
        <w:right w:val="none" w:sz="0" w:space="0" w:color="auto"/>
      </w:divBdr>
    </w:div>
    <w:div w:id="54360426">
      <w:bodyDiv w:val="1"/>
      <w:marLeft w:val="0"/>
      <w:marRight w:val="0"/>
      <w:marTop w:val="0"/>
      <w:marBottom w:val="0"/>
      <w:divBdr>
        <w:top w:val="none" w:sz="0" w:space="0" w:color="auto"/>
        <w:left w:val="none" w:sz="0" w:space="0" w:color="auto"/>
        <w:bottom w:val="none" w:sz="0" w:space="0" w:color="auto"/>
        <w:right w:val="none" w:sz="0" w:space="0" w:color="auto"/>
      </w:divBdr>
    </w:div>
    <w:div w:id="171183661">
      <w:bodyDiv w:val="1"/>
      <w:marLeft w:val="0"/>
      <w:marRight w:val="0"/>
      <w:marTop w:val="0"/>
      <w:marBottom w:val="0"/>
      <w:divBdr>
        <w:top w:val="none" w:sz="0" w:space="0" w:color="auto"/>
        <w:left w:val="none" w:sz="0" w:space="0" w:color="auto"/>
        <w:bottom w:val="none" w:sz="0" w:space="0" w:color="auto"/>
        <w:right w:val="none" w:sz="0" w:space="0" w:color="auto"/>
      </w:divBdr>
    </w:div>
    <w:div w:id="289212630">
      <w:bodyDiv w:val="1"/>
      <w:marLeft w:val="0"/>
      <w:marRight w:val="0"/>
      <w:marTop w:val="0"/>
      <w:marBottom w:val="0"/>
      <w:divBdr>
        <w:top w:val="none" w:sz="0" w:space="0" w:color="auto"/>
        <w:left w:val="none" w:sz="0" w:space="0" w:color="auto"/>
        <w:bottom w:val="none" w:sz="0" w:space="0" w:color="auto"/>
        <w:right w:val="none" w:sz="0" w:space="0" w:color="auto"/>
      </w:divBdr>
      <w:divsChild>
        <w:div w:id="1334645115">
          <w:marLeft w:val="1166"/>
          <w:marRight w:val="0"/>
          <w:marTop w:val="0"/>
          <w:marBottom w:val="0"/>
          <w:divBdr>
            <w:top w:val="none" w:sz="0" w:space="0" w:color="auto"/>
            <w:left w:val="none" w:sz="0" w:space="0" w:color="auto"/>
            <w:bottom w:val="none" w:sz="0" w:space="0" w:color="auto"/>
            <w:right w:val="none" w:sz="0" w:space="0" w:color="auto"/>
          </w:divBdr>
        </w:div>
        <w:div w:id="924650920">
          <w:marLeft w:val="1166"/>
          <w:marRight w:val="0"/>
          <w:marTop w:val="0"/>
          <w:marBottom w:val="0"/>
          <w:divBdr>
            <w:top w:val="none" w:sz="0" w:space="0" w:color="auto"/>
            <w:left w:val="none" w:sz="0" w:space="0" w:color="auto"/>
            <w:bottom w:val="none" w:sz="0" w:space="0" w:color="auto"/>
            <w:right w:val="none" w:sz="0" w:space="0" w:color="auto"/>
          </w:divBdr>
        </w:div>
        <w:div w:id="35586619">
          <w:marLeft w:val="1166"/>
          <w:marRight w:val="0"/>
          <w:marTop w:val="0"/>
          <w:marBottom w:val="0"/>
          <w:divBdr>
            <w:top w:val="none" w:sz="0" w:space="0" w:color="auto"/>
            <w:left w:val="none" w:sz="0" w:space="0" w:color="auto"/>
            <w:bottom w:val="none" w:sz="0" w:space="0" w:color="auto"/>
            <w:right w:val="none" w:sz="0" w:space="0" w:color="auto"/>
          </w:divBdr>
        </w:div>
      </w:divsChild>
    </w:div>
    <w:div w:id="300306580">
      <w:bodyDiv w:val="1"/>
      <w:marLeft w:val="0"/>
      <w:marRight w:val="0"/>
      <w:marTop w:val="0"/>
      <w:marBottom w:val="0"/>
      <w:divBdr>
        <w:top w:val="none" w:sz="0" w:space="0" w:color="auto"/>
        <w:left w:val="none" w:sz="0" w:space="0" w:color="auto"/>
        <w:bottom w:val="none" w:sz="0" w:space="0" w:color="auto"/>
        <w:right w:val="none" w:sz="0" w:space="0" w:color="auto"/>
      </w:divBdr>
    </w:div>
    <w:div w:id="418870206">
      <w:bodyDiv w:val="1"/>
      <w:marLeft w:val="0"/>
      <w:marRight w:val="0"/>
      <w:marTop w:val="0"/>
      <w:marBottom w:val="0"/>
      <w:divBdr>
        <w:top w:val="none" w:sz="0" w:space="0" w:color="auto"/>
        <w:left w:val="none" w:sz="0" w:space="0" w:color="auto"/>
        <w:bottom w:val="none" w:sz="0" w:space="0" w:color="auto"/>
        <w:right w:val="none" w:sz="0" w:space="0" w:color="auto"/>
      </w:divBdr>
    </w:div>
    <w:div w:id="579602364">
      <w:bodyDiv w:val="1"/>
      <w:marLeft w:val="0"/>
      <w:marRight w:val="0"/>
      <w:marTop w:val="0"/>
      <w:marBottom w:val="0"/>
      <w:divBdr>
        <w:top w:val="none" w:sz="0" w:space="0" w:color="auto"/>
        <w:left w:val="none" w:sz="0" w:space="0" w:color="auto"/>
        <w:bottom w:val="none" w:sz="0" w:space="0" w:color="auto"/>
        <w:right w:val="none" w:sz="0" w:space="0" w:color="auto"/>
      </w:divBdr>
    </w:div>
    <w:div w:id="704713492">
      <w:bodyDiv w:val="1"/>
      <w:marLeft w:val="0"/>
      <w:marRight w:val="0"/>
      <w:marTop w:val="0"/>
      <w:marBottom w:val="0"/>
      <w:divBdr>
        <w:top w:val="none" w:sz="0" w:space="0" w:color="auto"/>
        <w:left w:val="none" w:sz="0" w:space="0" w:color="auto"/>
        <w:bottom w:val="none" w:sz="0" w:space="0" w:color="auto"/>
        <w:right w:val="none" w:sz="0" w:space="0" w:color="auto"/>
      </w:divBdr>
    </w:div>
    <w:div w:id="880676620">
      <w:bodyDiv w:val="1"/>
      <w:marLeft w:val="0"/>
      <w:marRight w:val="0"/>
      <w:marTop w:val="0"/>
      <w:marBottom w:val="0"/>
      <w:divBdr>
        <w:top w:val="none" w:sz="0" w:space="0" w:color="auto"/>
        <w:left w:val="none" w:sz="0" w:space="0" w:color="auto"/>
        <w:bottom w:val="none" w:sz="0" w:space="0" w:color="auto"/>
        <w:right w:val="none" w:sz="0" w:space="0" w:color="auto"/>
      </w:divBdr>
    </w:div>
    <w:div w:id="955212875">
      <w:bodyDiv w:val="1"/>
      <w:marLeft w:val="0"/>
      <w:marRight w:val="0"/>
      <w:marTop w:val="0"/>
      <w:marBottom w:val="0"/>
      <w:divBdr>
        <w:top w:val="none" w:sz="0" w:space="0" w:color="auto"/>
        <w:left w:val="none" w:sz="0" w:space="0" w:color="auto"/>
        <w:bottom w:val="none" w:sz="0" w:space="0" w:color="auto"/>
        <w:right w:val="none" w:sz="0" w:space="0" w:color="auto"/>
      </w:divBdr>
    </w:div>
    <w:div w:id="1051460037">
      <w:bodyDiv w:val="1"/>
      <w:marLeft w:val="0"/>
      <w:marRight w:val="0"/>
      <w:marTop w:val="0"/>
      <w:marBottom w:val="0"/>
      <w:divBdr>
        <w:top w:val="none" w:sz="0" w:space="0" w:color="auto"/>
        <w:left w:val="none" w:sz="0" w:space="0" w:color="auto"/>
        <w:bottom w:val="none" w:sz="0" w:space="0" w:color="auto"/>
        <w:right w:val="none" w:sz="0" w:space="0" w:color="auto"/>
      </w:divBdr>
      <w:divsChild>
        <w:div w:id="1131940532">
          <w:marLeft w:val="1080"/>
          <w:marRight w:val="0"/>
          <w:marTop w:val="100"/>
          <w:marBottom w:val="0"/>
          <w:divBdr>
            <w:top w:val="none" w:sz="0" w:space="0" w:color="auto"/>
            <w:left w:val="none" w:sz="0" w:space="0" w:color="auto"/>
            <w:bottom w:val="none" w:sz="0" w:space="0" w:color="auto"/>
            <w:right w:val="none" w:sz="0" w:space="0" w:color="auto"/>
          </w:divBdr>
        </w:div>
        <w:div w:id="2096240192">
          <w:marLeft w:val="1080"/>
          <w:marRight w:val="0"/>
          <w:marTop w:val="100"/>
          <w:marBottom w:val="0"/>
          <w:divBdr>
            <w:top w:val="none" w:sz="0" w:space="0" w:color="auto"/>
            <w:left w:val="none" w:sz="0" w:space="0" w:color="auto"/>
            <w:bottom w:val="none" w:sz="0" w:space="0" w:color="auto"/>
            <w:right w:val="none" w:sz="0" w:space="0" w:color="auto"/>
          </w:divBdr>
        </w:div>
        <w:div w:id="77336018">
          <w:marLeft w:val="1080"/>
          <w:marRight w:val="0"/>
          <w:marTop w:val="100"/>
          <w:marBottom w:val="0"/>
          <w:divBdr>
            <w:top w:val="none" w:sz="0" w:space="0" w:color="auto"/>
            <w:left w:val="none" w:sz="0" w:space="0" w:color="auto"/>
            <w:bottom w:val="none" w:sz="0" w:space="0" w:color="auto"/>
            <w:right w:val="none" w:sz="0" w:space="0" w:color="auto"/>
          </w:divBdr>
        </w:div>
      </w:divsChild>
    </w:div>
    <w:div w:id="1260525951">
      <w:bodyDiv w:val="1"/>
      <w:marLeft w:val="0"/>
      <w:marRight w:val="0"/>
      <w:marTop w:val="0"/>
      <w:marBottom w:val="0"/>
      <w:divBdr>
        <w:top w:val="none" w:sz="0" w:space="0" w:color="auto"/>
        <w:left w:val="none" w:sz="0" w:space="0" w:color="auto"/>
        <w:bottom w:val="none" w:sz="0" w:space="0" w:color="auto"/>
        <w:right w:val="none" w:sz="0" w:space="0" w:color="auto"/>
      </w:divBdr>
    </w:div>
    <w:div w:id="1360820057">
      <w:bodyDiv w:val="1"/>
      <w:marLeft w:val="0"/>
      <w:marRight w:val="0"/>
      <w:marTop w:val="0"/>
      <w:marBottom w:val="0"/>
      <w:divBdr>
        <w:top w:val="none" w:sz="0" w:space="0" w:color="auto"/>
        <w:left w:val="none" w:sz="0" w:space="0" w:color="auto"/>
        <w:bottom w:val="none" w:sz="0" w:space="0" w:color="auto"/>
        <w:right w:val="none" w:sz="0" w:space="0" w:color="auto"/>
      </w:divBdr>
    </w:div>
    <w:div w:id="1795445264">
      <w:bodyDiv w:val="1"/>
      <w:marLeft w:val="0"/>
      <w:marRight w:val="0"/>
      <w:marTop w:val="0"/>
      <w:marBottom w:val="0"/>
      <w:divBdr>
        <w:top w:val="none" w:sz="0" w:space="0" w:color="auto"/>
        <w:left w:val="none" w:sz="0" w:space="0" w:color="auto"/>
        <w:bottom w:val="none" w:sz="0" w:space="0" w:color="auto"/>
        <w:right w:val="none" w:sz="0" w:space="0" w:color="auto"/>
      </w:divBdr>
    </w:div>
    <w:div w:id="1916862523">
      <w:bodyDiv w:val="1"/>
      <w:marLeft w:val="0"/>
      <w:marRight w:val="0"/>
      <w:marTop w:val="0"/>
      <w:marBottom w:val="0"/>
      <w:divBdr>
        <w:top w:val="none" w:sz="0" w:space="0" w:color="auto"/>
        <w:left w:val="none" w:sz="0" w:space="0" w:color="auto"/>
        <w:bottom w:val="none" w:sz="0" w:space="0" w:color="auto"/>
        <w:right w:val="none" w:sz="0" w:space="0" w:color="auto"/>
      </w:divBdr>
    </w:div>
    <w:div w:id="1997294271">
      <w:bodyDiv w:val="1"/>
      <w:marLeft w:val="0"/>
      <w:marRight w:val="0"/>
      <w:marTop w:val="0"/>
      <w:marBottom w:val="0"/>
      <w:divBdr>
        <w:top w:val="none" w:sz="0" w:space="0" w:color="auto"/>
        <w:left w:val="none" w:sz="0" w:space="0" w:color="auto"/>
        <w:bottom w:val="none" w:sz="0" w:space="0" w:color="auto"/>
        <w:right w:val="none" w:sz="0" w:space="0" w:color="auto"/>
      </w:divBdr>
    </w:div>
    <w:div w:id="205018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qub.ac.uk/directorates/HumanResources/hr-filestore/Filetoupload,866894,e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qub.ac.uk/about/Leadership-and-structure/Core-Valu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home.qol.qub.ac.uk/default.asp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qub.ac.uk/directorates/HumanResources/employees/career-progression/personal-development-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706DCAFB2EC141B1864025F2930877" ma:contentTypeVersion="4" ma:contentTypeDescription="Create a new document." ma:contentTypeScope="" ma:versionID="9c8b4252e2a20d95148dd00a99f87691">
  <xsd:schema xmlns:xsd="http://www.w3.org/2001/XMLSchema" xmlns:xs="http://www.w3.org/2001/XMLSchema" xmlns:p="http://schemas.microsoft.com/office/2006/metadata/properties" xmlns:ns2="12cfdf86-9a8c-473c-bba3-90f0d598d136" targetNamespace="http://schemas.microsoft.com/office/2006/metadata/properties" ma:root="true" ma:fieldsID="323cbfc2be8e0125c6b2d8c1b125b499" ns2:_="">
    <xsd:import namespace="12cfdf86-9a8c-473c-bba3-90f0d598d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fdf86-9a8c-473c-bba3-90f0d598d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D355A6536888C4A94D99FE6EE071DCB" ma:contentTypeVersion="0" ma:contentTypeDescription="Create a new document." ma:contentTypeScope="" ma:versionID="4b26a858a5051c04738ca61f6cd81728">
  <xsd:schema xmlns:xsd="http://www.w3.org/2001/XMLSchema" xmlns:xs="http://www.w3.org/2001/XMLSchema" xmlns:p="http://schemas.microsoft.com/office/2006/metadata/properties" targetNamespace="http://schemas.microsoft.com/office/2006/metadata/properties" ma:root="true" ma:fieldsID="4420ec92fe96c61a5b681fc6458fbb5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A2164-28D8-46A3-8DA4-F06C335D3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fdf86-9a8c-473c-bba3-90f0d598d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116B29-2E80-4E22-A4FC-771480B84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55889A0-A0E1-4727-AEF7-A6E924926EB8}">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12cfdf86-9a8c-473c-bba3-90f0d598d136"/>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560A485-6C0F-4AE0-B1D5-9FFD3E5EBD77}">
  <ds:schemaRefs>
    <ds:schemaRef ds:uri="http://schemas.microsoft.com/sharepoint/v3/contenttype/forms"/>
  </ds:schemaRefs>
</ds:datastoreItem>
</file>

<file path=customXml/itemProps5.xml><?xml version="1.0" encoding="utf-8"?>
<ds:datastoreItem xmlns:ds="http://schemas.openxmlformats.org/officeDocument/2006/customXml" ds:itemID="{1BF05070-6661-412E-8AD9-F0BB3CCF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2550</Words>
  <Characters>14535</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Lynch</dc:creator>
  <cp:keywords/>
  <dc:description/>
  <cp:lastModifiedBy>Deborah Morgan</cp:lastModifiedBy>
  <cp:revision>2</cp:revision>
  <cp:lastPrinted>2017-08-18T10:59:00Z</cp:lastPrinted>
  <dcterms:created xsi:type="dcterms:W3CDTF">2020-09-09T08:14:00Z</dcterms:created>
  <dcterms:modified xsi:type="dcterms:W3CDTF">2020-09-09T08:14:00Z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0x010100A6706DCAFB2EC141B1864025F2930877</vt:lpwstr>
  </property>
</Properties>
</file>