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701" w:type="dxa"/>
        <w:tblLayout w:type="fixed"/>
        <w:tblCellMar>
          <w:left w:w="0" w:type="dxa"/>
          <w:right w:w="0" w:type="dxa"/>
        </w:tblCellMar>
        <w:tblLook w:val="0000" w:firstRow="0" w:lastRow="0" w:firstColumn="0" w:lastColumn="0" w:noHBand="0" w:noVBand="0"/>
      </w:tblPr>
      <w:tblGrid>
        <w:gridCol w:w="7088"/>
        <w:gridCol w:w="2693"/>
      </w:tblGrid>
      <w:tr w:rsidR="005B6DB7" w:rsidRPr="008A7F6D" w14:paraId="5C27CDBC" w14:textId="77777777" w:rsidTr="002B5471">
        <w:trPr>
          <w:trHeight w:val="1841"/>
        </w:trPr>
        <w:tc>
          <w:tcPr>
            <w:tcW w:w="7088" w:type="dxa"/>
          </w:tcPr>
          <w:p w14:paraId="5D801F0E" w14:textId="77777777" w:rsidR="005B6DB7" w:rsidRPr="008A7F6D" w:rsidRDefault="005B6DB7" w:rsidP="002B5471">
            <w:pPr>
              <w:pStyle w:val="Heading1"/>
            </w:pPr>
            <w:r>
              <w:rPr>
                <w:noProof/>
                <w:lang w:val="en-US"/>
              </w:rPr>
              <w:drawing>
                <wp:inline distT="0" distB="0" distL="0" distR="0" wp14:anchorId="565DE632" wp14:editId="6B54FD9A">
                  <wp:extent cx="2867025" cy="1034334"/>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905719" cy="1048293"/>
                          </a:xfrm>
                          <a:prstGeom prst="rect">
                            <a:avLst/>
                          </a:prstGeom>
                        </pic:spPr>
                      </pic:pic>
                    </a:graphicData>
                  </a:graphic>
                </wp:inline>
              </w:drawing>
            </w:r>
          </w:p>
        </w:tc>
        <w:tc>
          <w:tcPr>
            <w:tcW w:w="2693" w:type="dxa"/>
          </w:tcPr>
          <w:p w14:paraId="4D414603" w14:textId="027431F5" w:rsidR="005B6DB7" w:rsidRPr="008A7F6D" w:rsidRDefault="005B6DB7" w:rsidP="002B5471">
            <w:pPr>
              <w:pStyle w:val="Heading1"/>
              <w:ind w:left="131"/>
            </w:pPr>
          </w:p>
        </w:tc>
      </w:tr>
    </w:tbl>
    <w:p w14:paraId="34CE25C4" w14:textId="7A42B741" w:rsidR="006B2020" w:rsidRPr="00043AAB" w:rsidRDefault="009A56C6" w:rsidP="00043AAB">
      <w:pPr>
        <w:pStyle w:val="Heading2"/>
        <w:jc w:val="center"/>
        <w:rPr>
          <w:b/>
          <w:sz w:val="28"/>
          <w:szCs w:val="28"/>
        </w:rPr>
      </w:pPr>
      <w:r w:rsidRPr="00043AAB">
        <w:rPr>
          <w:b/>
          <w:sz w:val="28"/>
          <w:szCs w:val="28"/>
        </w:rPr>
        <w:t>QUB</w:t>
      </w:r>
      <w:r w:rsidR="00B04527" w:rsidRPr="00043AAB">
        <w:rPr>
          <w:b/>
          <w:sz w:val="28"/>
          <w:szCs w:val="28"/>
        </w:rPr>
        <w:t xml:space="preserve"> School of Law</w:t>
      </w:r>
      <w:r w:rsidRPr="00043AAB">
        <w:rPr>
          <w:b/>
          <w:sz w:val="28"/>
          <w:szCs w:val="28"/>
        </w:rPr>
        <w:t xml:space="preserve"> </w:t>
      </w:r>
      <w:r w:rsidR="002E5B7B" w:rsidRPr="00043AAB">
        <w:rPr>
          <w:b/>
          <w:sz w:val="28"/>
          <w:szCs w:val="28"/>
        </w:rPr>
        <w:t xml:space="preserve">/ </w:t>
      </w:r>
      <w:r w:rsidR="00043AAB">
        <w:rPr>
          <w:b/>
          <w:sz w:val="28"/>
          <w:szCs w:val="28"/>
        </w:rPr>
        <w:t>Committee on the Administration of Justice</w:t>
      </w:r>
      <w:r w:rsidR="006B2020" w:rsidRPr="00043AAB">
        <w:rPr>
          <w:b/>
          <w:sz w:val="28"/>
          <w:szCs w:val="28"/>
        </w:rPr>
        <w:t xml:space="preserve"> (CAJ)</w:t>
      </w:r>
    </w:p>
    <w:p w14:paraId="22FA7525" w14:textId="11C57D2D" w:rsidR="009A56C6" w:rsidRPr="00043AAB" w:rsidRDefault="006B2020" w:rsidP="00043AAB">
      <w:pPr>
        <w:pStyle w:val="Heading2"/>
        <w:jc w:val="center"/>
        <w:rPr>
          <w:b/>
          <w:sz w:val="28"/>
          <w:szCs w:val="28"/>
        </w:rPr>
      </w:pPr>
      <w:r w:rsidRPr="00043AAB">
        <w:rPr>
          <w:b/>
          <w:sz w:val="28"/>
          <w:szCs w:val="28"/>
        </w:rPr>
        <w:t>T</w:t>
      </w:r>
      <w:r w:rsidR="00043AAB">
        <w:rPr>
          <w:b/>
          <w:sz w:val="28"/>
          <w:szCs w:val="28"/>
        </w:rPr>
        <w:t>wo PhD Research Studentships</w:t>
      </w:r>
    </w:p>
    <w:p w14:paraId="5B76DE80" w14:textId="77777777" w:rsidR="00043AAB" w:rsidRDefault="00043AAB" w:rsidP="00E04082">
      <w:pPr>
        <w:spacing w:line="240" w:lineRule="auto"/>
        <w:jc w:val="both"/>
        <w:rPr>
          <w:rFonts w:ascii="Arial" w:hAnsi="Arial" w:cs="Arial"/>
        </w:rPr>
      </w:pPr>
    </w:p>
    <w:p w14:paraId="0678B7A2" w14:textId="6AA89BBB" w:rsidR="006B2020" w:rsidRPr="007E3A38" w:rsidRDefault="00311FE9" w:rsidP="00E04082">
      <w:pPr>
        <w:spacing w:line="240" w:lineRule="auto"/>
        <w:jc w:val="both"/>
        <w:rPr>
          <w:rFonts w:ascii="Arial" w:hAnsi="Arial" w:cs="Arial"/>
          <w:lang w:eastAsia="en-GB"/>
        </w:rPr>
      </w:pPr>
      <w:r w:rsidRPr="007E3A38">
        <w:rPr>
          <w:rFonts w:ascii="Arial" w:hAnsi="Arial" w:cs="Arial"/>
        </w:rPr>
        <w:t>The School o</w:t>
      </w:r>
      <w:r w:rsidR="006B2020" w:rsidRPr="007E3A38">
        <w:rPr>
          <w:rFonts w:ascii="Arial" w:hAnsi="Arial" w:cs="Arial"/>
        </w:rPr>
        <w:t>f Law is delighted to announce two</w:t>
      </w:r>
      <w:r w:rsidRPr="007E3A38">
        <w:rPr>
          <w:rFonts w:ascii="Arial" w:hAnsi="Arial" w:cs="Arial"/>
        </w:rPr>
        <w:t xml:space="preserve"> PhD studentship</w:t>
      </w:r>
      <w:r w:rsidR="006B2020" w:rsidRPr="007E3A38">
        <w:rPr>
          <w:rFonts w:ascii="Arial" w:hAnsi="Arial" w:cs="Arial"/>
        </w:rPr>
        <w:t>s</w:t>
      </w:r>
      <w:r w:rsidRPr="007E3A38">
        <w:rPr>
          <w:rFonts w:ascii="Arial" w:hAnsi="Arial" w:cs="Arial"/>
        </w:rPr>
        <w:t xml:space="preserve">, funded </w:t>
      </w:r>
      <w:r w:rsidR="00B04527" w:rsidRPr="007E3A38">
        <w:rPr>
          <w:rFonts w:ascii="Arial" w:hAnsi="Arial" w:cs="Arial"/>
        </w:rPr>
        <w:t xml:space="preserve">as </w:t>
      </w:r>
      <w:r w:rsidR="00EF24DD" w:rsidRPr="007E3A38">
        <w:rPr>
          <w:rFonts w:ascii="Arial" w:hAnsi="Arial" w:cs="Arial"/>
        </w:rPr>
        <w:t>Collaborative Studentship</w:t>
      </w:r>
      <w:r w:rsidR="00B04527" w:rsidRPr="007E3A38">
        <w:rPr>
          <w:rFonts w:ascii="Arial" w:hAnsi="Arial" w:cs="Arial"/>
        </w:rPr>
        <w:t>s</w:t>
      </w:r>
      <w:r w:rsidR="00EF24DD" w:rsidRPr="007E3A38">
        <w:rPr>
          <w:rFonts w:ascii="Arial" w:hAnsi="Arial" w:cs="Arial"/>
        </w:rPr>
        <w:t xml:space="preserve"> </w:t>
      </w:r>
      <w:r w:rsidRPr="007E3A38">
        <w:rPr>
          <w:rFonts w:ascii="Arial" w:hAnsi="Arial" w:cs="Arial"/>
        </w:rPr>
        <w:t>by t</w:t>
      </w:r>
      <w:r w:rsidR="009A56C6" w:rsidRPr="007E3A38">
        <w:rPr>
          <w:rFonts w:ascii="Arial" w:hAnsi="Arial" w:cs="Arial"/>
        </w:rPr>
        <w:t>he D</w:t>
      </w:r>
      <w:r w:rsidRPr="007E3A38">
        <w:rPr>
          <w:rFonts w:ascii="Arial" w:hAnsi="Arial" w:cs="Arial"/>
        </w:rPr>
        <w:t>epartment for the Economy (DfE)</w:t>
      </w:r>
      <w:r w:rsidR="002E5B7B" w:rsidRPr="007E3A38">
        <w:rPr>
          <w:rFonts w:ascii="Arial" w:hAnsi="Arial" w:cs="Arial"/>
        </w:rPr>
        <w:t xml:space="preserve"> and </w:t>
      </w:r>
      <w:r w:rsidR="009D2641" w:rsidRPr="007E3A38">
        <w:rPr>
          <w:rFonts w:ascii="Arial" w:hAnsi="Arial" w:cs="Arial"/>
        </w:rPr>
        <w:t xml:space="preserve">the </w:t>
      </w:r>
      <w:r w:rsidR="006B2020" w:rsidRPr="007E3A38">
        <w:rPr>
          <w:rFonts w:ascii="Arial" w:hAnsi="Arial" w:cs="Arial"/>
        </w:rPr>
        <w:t xml:space="preserve">Committee on the Administration of Justice </w:t>
      </w:r>
      <w:r w:rsidR="000D2747" w:rsidRPr="007E3A38">
        <w:rPr>
          <w:rFonts w:ascii="Arial" w:hAnsi="Arial" w:cs="Arial"/>
          <w:lang w:eastAsia="en-GB"/>
        </w:rPr>
        <w:t>(</w:t>
      </w:r>
      <w:r w:rsidR="006B2020" w:rsidRPr="007E3A38">
        <w:rPr>
          <w:rFonts w:ascii="Arial" w:hAnsi="Arial" w:cs="Arial"/>
          <w:lang w:eastAsia="en-GB"/>
        </w:rPr>
        <w:t>CAJ</w:t>
      </w:r>
      <w:r w:rsidR="000D2747" w:rsidRPr="007E3A38">
        <w:rPr>
          <w:rFonts w:ascii="Arial" w:hAnsi="Arial" w:cs="Arial"/>
          <w:lang w:eastAsia="en-GB"/>
        </w:rPr>
        <w:t>)</w:t>
      </w:r>
      <w:r w:rsidR="00DE108E" w:rsidRPr="007E3A38">
        <w:rPr>
          <w:rFonts w:ascii="Arial" w:hAnsi="Arial" w:cs="Arial"/>
          <w:lang w:eastAsia="en-GB"/>
        </w:rPr>
        <w:t>.</w:t>
      </w:r>
      <w:r w:rsidR="003604EC">
        <w:rPr>
          <w:rFonts w:ascii="Arial" w:hAnsi="Arial" w:cs="Arial"/>
          <w:lang w:eastAsia="en-GB"/>
        </w:rPr>
        <w:t xml:space="preserve"> </w:t>
      </w:r>
      <w:r w:rsidR="002B06DD" w:rsidRPr="007E3A38">
        <w:rPr>
          <w:rFonts w:ascii="Arial" w:hAnsi="Arial" w:cs="Arial"/>
          <w:lang w:eastAsia="en-GB"/>
        </w:rPr>
        <w:t xml:space="preserve"> </w:t>
      </w:r>
    </w:p>
    <w:p w14:paraId="7E6C5B07" w14:textId="0F15268A" w:rsidR="00B04527" w:rsidRPr="007E3A38" w:rsidRDefault="001A7038" w:rsidP="00E04082">
      <w:pPr>
        <w:spacing w:line="240" w:lineRule="auto"/>
        <w:jc w:val="both"/>
        <w:rPr>
          <w:rFonts w:ascii="Arial" w:hAnsi="Arial" w:cs="Arial"/>
        </w:rPr>
      </w:pPr>
      <w:r w:rsidRPr="007E3A38">
        <w:rPr>
          <w:rFonts w:ascii="Arial" w:hAnsi="Arial" w:cs="Arial"/>
        </w:rPr>
        <w:t>The successful candidate</w:t>
      </w:r>
      <w:r w:rsidR="006B2020" w:rsidRPr="007E3A38">
        <w:rPr>
          <w:rFonts w:ascii="Arial" w:hAnsi="Arial" w:cs="Arial"/>
        </w:rPr>
        <w:t>s</w:t>
      </w:r>
      <w:r w:rsidRPr="007E3A38">
        <w:rPr>
          <w:rFonts w:ascii="Arial" w:hAnsi="Arial" w:cs="Arial"/>
        </w:rPr>
        <w:t xml:space="preserve"> will </w:t>
      </w:r>
      <w:r w:rsidR="00B04527" w:rsidRPr="007E3A38">
        <w:rPr>
          <w:rFonts w:ascii="Arial" w:hAnsi="Arial" w:cs="Arial"/>
        </w:rPr>
        <w:t xml:space="preserve">focus their </w:t>
      </w:r>
      <w:r w:rsidRPr="007E3A38">
        <w:rPr>
          <w:rFonts w:ascii="Arial" w:hAnsi="Arial" w:cs="Arial"/>
        </w:rPr>
        <w:t xml:space="preserve">research </w:t>
      </w:r>
      <w:r w:rsidR="00C20046">
        <w:rPr>
          <w:rFonts w:ascii="Arial" w:hAnsi="Arial" w:cs="Arial"/>
        </w:rPr>
        <w:t>within the parameters of</w:t>
      </w:r>
      <w:r w:rsidR="00B04527" w:rsidRPr="007E3A38">
        <w:rPr>
          <w:rFonts w:ascii="Arial" w:hAnsi="Arial" w:cs="Arial"/>
        </w:rPr>
        <w:t xml:space="preserve"> either:</w:t>
      </w:r>
      <w:r w:rsidRPr="007E3A38">
        <w:rPr>
          <w:rFonts w:ascii="Arial" w:hAnsi="Arial" w:cs="Arial"/>
        </w:rPr>
        <w:t xml:space="preserve"> </w:t>
      </w:r>
    </w:p>
    <w:p w14:paraId="2CBE5B2B" w14:textId="0A07641A" w:rsidR="00B04527" w:rsidRPr="007E3A38" w:rsidRDefault="006B2020" w:rsidP="007E3A38">
      <w:pPr>
        <w:pStyle w:val="ListParagraph"/>
        <w:numPr>
          <w:ilvl w:val="0"/>
          <w:numId w:val="8"/>
        </w:numPr>
        <w:spacing w:line="240" w:lineRule="auto"/>
        <w:jc w:val="both"/>
        <w:rPr>
          <w:rFonts w:ascii="Arial" w:hAnsi="Arial" w:cs="Arial"/>
          <w:b/>
        </w:rPr>
      </w:pPr>
      <w:r w:rsidRPr="007E3A38">
        <w:rPr>
          <w:rFonts w:ascii="Arial" w:hAnsi="Arial" w:cs="Arial"/>
          <w:b/>
          <w:i/>
        </w:rPr>
        <w:t>Dealing with the Past in Northern Ireland: Truth, Accountability and the Rule of Law</w:t>
      </w:r>
      <w:r w:rsidR="003604EC">
        <w:rPr>
          <w:rFonts w:ascii="Arial" w:hAnsi="Arial" w:cs="Arial"/>
          <w:b/>
          <w:i/>
        </w:rPr>
        <w:t xml:space="preserve"> </w:t>
      </w:r>
      <w:r w:rsidR="003604EC" w:rsidRPr="00E57F31">
        <w:rPr>
          <w:rFonts w:ascii="Arial" w:hAnsi="Arial" w:cs="Arial"/>
          <w:i/>
        </w:rPr>
        <w:t>(Supervisors Professor Kieran McEvoy and Dr Kevin Hearty)</w:t>
      </w:r>
      <w:r w:rsidRPr="007E3A38">
        <w:rPr>
          <w:rFonts w:ascii="Arial" w:hAnsi="Arial" w:cs="Arial"/>
          <w:b/>
        </w:rPr>
        <w:t xml:space="preserve"> </w:t>
      </w:r>
    </w:p>
    <w:p w14:paraId="59160A05" w14:textId="77777777" w:rsidR="00B04527" w:rsidRPr="00043AAB" w:rsidRDefault="006B2020" w:rsidP="00E04082">
      <w:pPr>
        <w:spacing w:line="240" w:lineRule="auto"/>
        <w:jc w:val="both"/>
        <w:rPr>
          <w:rFonts w:ascii="Arial" w:hAnsi="Arial" w:cs="Arial"/>
        </w:rPr>
      </w:pPr>
      <w:r w:rsidRPr="00043AAB">
        <w:rPr>
          <w:rFonts w:ascii="Arial" w:hAnsi="Arial" w:cs="Arial"/>
          <w:u w:val="single"/>
        </w:rPr>
        <w:t>or</w:t>
      </w:r>
      <w:r w:rsidRPr="00043AAB">
        <w:rPr>
          <w:rFonts w:ascii="Arial" w:hAnsi="Arial" w:cs="Arial"/>
        </w:rPr>
        <w:t xml:space="preserve"> </w:t>
      </w:r>
    </w:p>
    <w:p w14:paraId="46CD5E46" w14:textId="77777777" w:rsidR="0020669D" w:rsidRPr="0020669D" w:rsidRDefault="006B2020" w:rsidP="007E3A38">
      <w:pPr>
        <w:pStyle w:val="ListParagraph"/>
        <w:numPr>
          <w:ilvl w:val="0"/>
          <w:numId w:val="8"/>
        </w:numPr>
        <w:spacing w:line="240" w:lineRule="auto"/>
        <w:jc w:val="both"/>
        <w:rPr>
          <w:rFonts w:ascii="Arial" w:hAnsi="Arial" w:cs="Arial"/>
          <w:lang w:val="en-US"/>
        </w:rPr>
      </w:pPr>
      <w:r w:rsidRPr="007E3A38">
        <w:rPr>
          <w:rFonts w:ascii="Arial" w:hAnsi="Arial" w:cs="Arial"/>
          <w:b/>
          <w:i/>
        </w:rPr>
        <w:t xml:space="preserve">The Role </w:t>
      </w:r>
      <w:r w:rsidR="00C20046">
        <w:rPr>
          <w:rFonts w:ascii="Arial" w:hAnsi="Arial" w:cs="Arial"/>
          <w:b/>
          <w:i/>
        </w:rPr>
        <w:t xml:space="preserve">of </w:t>
      </w:r>
      <w:r w:rsidRPr="007E3A38">
        <w:rPr>
          <w:rFonts w:ascii="Arial" w:hAnsi="Arial" w:cs="Arial"/>
          <w:b/>
          <w:i/>
        </w:rPr>
        <w:t xml:space="preserve">Oral </w:t>
      </w:r>
      <w:r w:rsidR="00CC2487">
        <w:rPr>
          <w:rFonts w:ascii="Arial" w:hAnsi="Arial" w:cs="Arial"/>
          <w:b/>
          <w:i/>
        </w:rPr>
        <w:t>History</w:t>
      </w:r>
      <w:r w:rsidR="00C20046">
        <w:rPr>
          <w:rFonts w:ascii="Arial" w:hAnsi="Arial" w:cs="Arial"/>
          <w:b/>
          <w:i/>
        </w:rPr>
        <w:t xml:space="preserve"> </w:t>
      </w:r>
      <w:r w:rsidRPr="007E3A38">
        <w:rPr>
          <w:rFonts w:ascii="Arial" w:hAnsi="Arial" w:cs="Arial"/>
          <w:b/>
          <w:i/>
        </w:rPr>
        <w:t xml:space="preserve">in Dealing with the Legacy of </w:t>
      </w:r>
      <w:r w:rsidR="00C20046">
        <w:rPr>
          <w:rFonts w:ascii="Arial" w:hAnsi="Arial" w:cs="Arial"/>
          <w:b/>
          <w:i/>
        </w:rPr>
        <w:t>Conflict</w:t>
      </w:r>
      <w:r w:rsidR="003604EC">
        <w:rPr>
          <w:rFonts w:ascii="Arial" w:hAnsi="Arial" w:cs="Arial"/>
          <w:b/>
          <w:i/>
        </w:rPr>
        <w:t xml:space="preserve"> </w:t>
      </w:r>
    </w:p>
    <w:p w14:paraId="7308E857" w14:textId="2D879E37" w:rsidR="00B04527" w:rsidRPr="00C20046" w:rsidRDefault="003604EC" w:rsidP="0020669D">
      <w:pPr>
        <w:pStyle w:val="ListParagraph"/>
        <w:spacing w:line="240" w:lineRule="auto"/>
        <w:ind w:left="360"/>
        <w:jc w:val="both"/>
        <w:rPr>
          <w:rFonts w:ascii="Arial" w:hAnsi="Arial" w:cs="Arial"/>
          <w:lang w:val="en-US"/>
        </w:rPr>
      </w:pPr>
      <w:r w:rsidRPr="00E57F31">
        <w:rPr>
          <w:rFonts w:ascii="Arial" w:hAnsi="Arial" w:cs="Arial"/>
          <w:i/>
        </w:rPr>
        <w:t>(Supervisors Dr Anna Bryson and Dr Lauren Dempster)</w:t>
      </w:r>
    </w:p>
    <w:p w14:paraId="1AA5C1EF" w14:textId="77777777" w:rsidR="00C20046" w:rsidRPr="007E3A38" w:rsidRDefault="00C20046" w:rsidP="00C20046">
      <w:pPr>
        <w:pStyle w:val="ListParagraph"/>
        <w:spacing w:line="240" w:lineRule="auto"/>
        <w:jc w:val="both"/>
        <w:rPr>
          <w:rFonts w:ascii="Arial" w:hAnsi="Arial" w:cs="Arial"/>
          <w:lang w:val="en-US"/>
        </w:rPr>
      </w:pPr>
    </w:p>
    <w:p w14:paraId="138DFC84" w14:textId="5C1CD0FE" w:rsidR="00B04527" w:rsidRPr="007E3A38" w:rsidRDefault="00B04527" w:rsidP="00E04082">
      <w:pPr>
        <w:spacing w:line="240" w:lineRule="auto"/>
        <w:jc w:val="both"/>
        <w:rPr>
          <w:rFonts w:ascii="Arial" w:hAnsi="Arial" w:cs="Arial"/>
        </w:rPr>
      </w:pPr>
      <w:r w:rsidRPr="007E3A38">
        <w:rPr>
          <w:rFonts w:ascii="Arial" w:hAnsi="Arial" w:cs="Arial"/>
          <w:lang w:val="en-US"/>
        </w:rPr>
        <w:t xml:space="preserve">Queen’s has an excellent track-record of collaborating with the third sector to successfully deliver high-impact, user-informed research. In this instance the student will work closely with the leading human rights NGO,CAJ.  CAJ has </w:t>
      </w:r>
      <w:r w:rsidRPr="007E3A38">
        <w:rPr>
          <w:rFonts w:ascii="Arial" w:hAnsi="Arial" w:cs="Arial"/>
        </w:rPr>
        <w:t xml:space="preserve">won the Reebok award for human rights and the Council of Europe Human Rights Prize </w:t>
      </w:r>
      <w:r w:rsidR="003604EC">
        <w:rPr>
          <w:rFonts w:ascii="Arial" w:hAnsi="Arial" w:cs="Arial"/>
        </w:rPr>
        <w:t xml:space="preserve">and worked closely with colleagues at Queens (including members of the supervisory team) </w:t>
      </w:r>
      <w:r w:rsidRPr="007E3A38">
        <w:rPr>
          <w:rFonts w:ascii="Arial" w:hAnsi="Arial" w:cs="Arial"/>
        </w:rPr>
        <w:t>in shaping the legal and political outworking of legacy debates in Northern Ireland.</w:t>
      </w:r>
    </w:p>
    <w:p w14:paraId="25A935C5" w14:textId="489175C0" w:rsidR="003B56BA" w:rsidRPr="003B56BA" w:rsidRDefault="00B04527" w:rsidP="003B56BA">
      <w:pPr>
        <w:jc w:val="both"/>
        <w:rPr>
          <w:rFonts w:ascii="Arial" w:hAnsi="Arial" w:cs="Arial"/>
        </w:rPr>
      </w:pPr>
      <w:r w:rsidRPr="007E3A38">
        <w:rPr>
          <w:rFonts w:ascii="Arial" w:hAnsi="Arial" w:cs="Arial"/>
        </w:rPr>
        <w:t xml:space="preserve">CAJ will be </w:t>
      </w:r>
      <w:r w:rsidRPr="007E3A38">
        <w:rPr>
          <w:rFonts w:ascii="Arial" w:hAnsi="Arial" w:cs="Arial"/>
          <w:b/>
        </w:rPr>
        <w:t>jointly involved in devising each PhD research programme and will provide additional workplace supervision</w:t>
      </w:r>
      <w:r w:rsidRPr="007E3A38">
        <w:rPr>
          <w:rFonts w:ascii="Arial" w:hAnsi="Arial" w:cs="Arial"/>
        </w:rPr>
        <w:t xml:space="preserve">. </w:t>
      </w:r>
    </w:p>
    <w:p w14:paraId="537264DB" w14:textId="77777777" w:rsidR="00311FE9" w:rsidRPr="007E3A38" w:rsidRDefault="00311FE9" w:rsidP="003B56BA">
      <w:pPr>
        <w:shd w:val="clear" w:color="auto" w:fill="F2F2F2" w:themeFill="background1" w:themeFillShade="F2"/>
        <w:spacing w:line="240" w:lineRule="auto"/>
        <w:jc w:val="both"/>
        <w:rPr>
          <w:rFonts w:ascii="Arial" w:hAnsi="Arial" w:cs="Arial"/>
          <w:b/>
        </w:rPr>
      </w:pPr>
      <w:r w:rsidRPr="007E3A38">
        <w:rPr>
          <w:rFonts w:ascii="Arial" w:hAnsi="Arial" w:cs="Arial"/>
          <w:b/>
        </w:rPr>
        <w:t>WHAT THE STUDENTSHIP WILL COVER:</w:t>
      </w:r>
    </w:p>
    <w:p w14:paraId="1FDFC360" w14:textId="588A8A98" w:rsidR="00043AAB" w:rsidRPr="003B56BA" w:rsidRDefault="009A56C6" w:rsidP="003B56BA">
      <w:pPr>
        <w:pStyle w:val="ListParagraph"/>
        <w:numPr>
          <w:ilvl w:val="0"/>
          <w:numId w:val="2"/>
        </w:numPr>
        <w:spacing w:line="240" w:lineRule="auto"/>
        <w:jc w:val="both"/>
        <w:rPr>
          <w:rStyle w:val="Hyperlink"/>
          <w:rFonts w:ascii="Arial" w:hAnsi="Arial" w:cs="Arial"/>
          <w:color w:val="auto"/>
          <w:u w:val="none"/>
        </w:rPr>
      </w:pPr>
      <w:r w:rsidRPr="007E3A38">
        <w:rPr>
          <w:rFonts w:ascii="Arial" w:hAnsi="Arial" w:cs="Arial"/>
        </w:rPr>
        <w:t xml:space="preserve">The funded studentship </w:t>
      </w:r>
      <w:r w:rsidR="00196645" w:rsidRPr="007E3A38">
        <w:rPr>
          <w:rFonts w:ascii="Arial" w:hAnsi="Arial" w:cs="Arial"/>
        </w:rPr>
        <w:t xml:space="preserve">may </w:t>
      </w:r>
      <w:r w:rsidR="002E5B7B" w:rsidRPr="007E3A38">
        <w:rPr>
          <w:rFonts w:ascii="Arial" w:hAnsi="Arial" w:cs="Arial"/>
        </w:rPr>
        <w:t xml:space="preserve">cover </w:t>
      </w:r>
      <w:r w:rsidR="00125B18" w:rsidRPr="007E3A38">
        <w:rPr>
          <w:rFonts w:ascii="Arial" w:hAnsi="Arial" w:cs="Arial"/>
        </w:rPr>
        <w:t>UK</w:t>
      </w:r>
      <w:r w:rsidR="00BB2EDA" w:rsidRPr="007E3A38">
        <w:rPr>
          <w:rFonts w:ascii="Arial" w:hAnsi="Arial" w:cs="Arial"/>
        </w:rPr>
        <w:t xml:space="preserve"> </w:t>
      </w:r>
      <w:r w:rsidR="006B2020" w:rsidRPr="007E3A38">
        <w:rPr>
          <w:rFonts w:ascii="Arial" w:hAnsi="Arial" w:cs="Arial"/>
        </w:rPr>
        <w:t>tuition fees</w:t>
      </w:r>
      <w:r w:rsidR="001A7038" w:rsidRPr="007E3A38">
        <w:rPr>
          <w:rFonts w:ascii="Arial" w:hAnsi="Arial" w:cs="Arial"/>
        </w:rPr>
        <w:t xml:space="preserve"> for</w:t>
      </w:r>
      <w:r w:rsidR="00196645" w:rsidRPr="007E3A38">
        <w:rPr>
          <w:rFonts w:ascii="Arial" w:hAnsi="Arial" w:cs="Arial"/>
        </w:rPr>
        <w:t xml:space="preserve"> a maximum of</w:t>
      </w:r>
      <w:r w:rsidR="001A7038" w:rsidRPr="007E3A38">
        <w:rPr>
          <w:rFonts w:ascii="Arial" w:hAnsi="Arial" w:cs="Arial"/>
        </w:rPr>
        <w:t xml:space="preserve"> three years.</w:t>
      </w:r>
      <w:r w:rsidR="00125B18" w:rsidRPr="007E3A38">
        <w:rPr>
          <w:rFonts w:ascii="Arial" w:hAnsi="Arial" w:cs="Arial"/>
        </w:rPr>
        <w:t xml:space="preserve"> </w:t>
      </w:r>
      <w:r w:rsidR="00196645" w:rsidRPr="007E3A38">
        <w:rPr>
          <w:rFonts w:ascii="Arial" w:hAnsi="Arial" w:cs="Arial"/>
        </w:rPr>
        <w:t xml:space="preserve">For further details re eligibility criteria (including academic, citizenship and residency </w:t>
      </w:r>
      <w:r w:rsidR="00196645" w:rsidRPr="00043AAB">
        <w:rPr>
          <w:rFonts w:ascii="Arial" w:hAnsi="Arial" w:cs="Arial"/>
        </w:rPr>
        <w:t>criteria) please click on the </w:t>
      </w:r>
      <w:hyperlink r:id="rId11" w:history="1">
        <w:r w:rsidR="00196645" w:rsidRPr="00043AAB">
          <w:rPr>
            <w:rStyle w:val="Hyperlink"/>
            <w:rFonts w:ascii="Arial" w:hAnsi="Arial" w:cs="Arial"/>
          </w:rPr>
          <w:t>DfE Research Eligibility Guidance Notes</w:t>
        </w:r>
      </w:hyperlink>
      <w:r w:rsidR="003B56BA">
        <w:rPr>
          <w:rStyle w:val="Hyperlink"/>
          <w:rFonts w:ascii="Arial" w:hAnsi="Arial" w:cs="Arial"/>
        </w:rPr>
        <w:t xml:space="preserve"> </w:t>
      </w:r>
      <w:r w:rsidR="00043AAB" w:rsidRPr="003B56BA">
        <w:rPr>
          <w:rFonts w:ascii="Arial" w:hAnsi="Arial" w:cs="Arial"/>
          <w:color w:val="1C1C1C"/>
          <w:shd w:val="clear" w:color="auto" w:fill="FFFFFF"/>
        </w:rPr>
        <w:t>For UK domiciled students the value of an award includes the cost of approved fees as well as maintenance support. In academic year 2021-2022 the basic rate of maintenance support for a Research Studentship is £15,609.</w:t>
      </w:r>
    </w:p>
    <w:p w14:paraId="0206756C" w14:textId="15904923" w:rsidR="007E3A38" w:rsidRPr="007E3A38" w:rsidRDefault="00B04527" w:rsidP="007E3A38">
      <w:pPr>
        <w:pStyle w:val="ListParagraph"/>
        <w:numPr>
          <w:ilvl w:val="0"/>
          <w:numId w:val="2"/>
        </w:numPr>
        <w:spacing w:line="240" w:lineRule="auto"/>
        <w:jc w:val="both"/>
        <w:rPr>
          <w:rFonts w:ascii="Arial" w:hAnsi="Arial" w:cs="Arial"/>
        </w:rPr>
      </w:pPr>
      <w:r w:rsidRPr="007E3A38">
        <w:rPr>
          <w:rFonts w:ascii="Arial" w:hAnsi="Arial" w:cs="Arial"/>
        </w:rPr>
        <w:t xml:space="preserve">The School of Law </w:t>
      </w:r>
      <w:r w:rsidR="003B56BA">
        <w:rPr>
          <w:rFonts w:ascii="Arial" w:hAnsi="Arial" w:cs="Arial"/>
        </w:rPr>
        <w:t>has</w:t>
      </w:r>
      <w:r w:rsidRPr="007E3A38">
        <w:rPr>
          <w:rFonts w:ascii="Arial" w:hAnsi="Arial" w:cs="Arial"/>
        </w:rPr>
        <w:t xml:space="preserve"> a world-leading research environment. It is ranked 85th in the world (THE Subject Rankings 2020) and was joint fourth in the UK for research impact in REF 2014. The School has</w:t>
      </w:r>
      <w:r w:rsidR="007E3A38" w:rsidRPr="007E3A38">
        <w:rPr>
          <w:rFonts w:ascii="Arial" w:hAnsi="Arial" w:cs="Arial"/>
        </w:rPr>
        <w:t xml:space="preserve"> </w:t>
      </w:r>
      <w:r w:rsidRPr="007E3A38">
        <w:rPr>
          <w:rFonts w:ascii="Arial" w:hAnsi="Arial" w:cs="Arial"/>
        </w:rPr>
        <w:t>longstanding ex</w:t>
      </w:r>
      <w:r w:rsidR="003B56BA">
        <w:rPr>
          <w:rFonts w:ascii="Arial" w:hAnsi="Arial" w:cs="Arial"/>
        </w:rPr>
        <w:t>pertise in transitional justice</w:t>
      </w:r>
      <w:r w:rsidRPr="007E3A38">
        <w:rPr>
          <w:rFonts w:ascii="Arial" w:hAnsi="Arial" w:cs="Arial"/>
        </w:rPr>
        <w:t xml:space="preserve"> and hosts a vibrant community of transitional justice academics and doctoral researchers. </w:t>
      </w:r>
      <w:r w:rsidR="007E3A38" w:rsidRPr="007E3A38">
        <w:rPr>
          <w:rFonts w:ascii="Arial" w:hAnsi="Arial" w:cs="Arial"/>
        </w:rPr>
        <w:t xml:space="preserve"> </w:t>
      </w:r>
    </w:p>
    <w:p w14:paraId="5C85AAB2" w14:textId="5CDCC08D" w:rsidR="007E3A38" w:rsidRPr="003B56BA" w:rsidRDefault="00655E4C" w:rsidP="003B56BA">
      <w:pPr>
        <w:pStyle w:val="ListParagraph"/>
        <w:numPr>
          <w:ilvl w:val="0"/>
          <w:numId w:val="2"/>
        </w:numPr>
        <w:spacing w:line="240" w:lineRule="auto"/>
        <w:jc w:val="both"/>
        <w:rPr>
          <w:rFonts w:ascii="Arial" w:hAnsi="Arial" w:cs="Arial"/>
        </w:rPr>
      </w:pPr>
      <w:r w:rsidRPr="007E3A38">
        <w:rPr>
          <w:rFonts w:ascii="Arial" w:hAnsi="Arial" w:cs="Arial"/>
        </w:rPr>
        <w:t xml:space="preserve">In addition to the </w:t>
      </w:r>
      <w:r w:rsidR="003B56BA">
        <w:rPr>
          <w:rFonts w:ascii="Arial" w:hAnsi="Arial" w:cs="Arial"/>
        </w:rPr>
        <w:t xml:space="preserve">training and other </w:t>
      </w:r>
      <w:r w:rsidRPr="007E3A38">
        <w:rPr>
          <w:rFonts w:ascii="Arial" w:hAnsi="Arial" w:cs="Arial"/>
        </w:rPr>
        <w:t>resources available at the School of Law and the QUB Graduate School, the students will be fully embedded in the Senator George J. Mitchell Institute for Global, Peace</w:t>
      </w:r>
      <w:r w:rsidR="003B56BA">
        <w:rPr>
          <w:rFonts w:ascii="Arial" w:hAnsi="Arial" w:cs="Arial"/>
        </w:rPr>
        <w:t xml:space="preserve"> and Security. </w:t>
      </w:r>
      <w:r w:rsidRPr="007E3A38">
        <w:rPr>
          <w:rFonts w:ascii="Arial" w:hAnsi="Arial" w:cs="Arial"/>
        </w:rPr>
        <w:t xml:space="preserve">The Institute is a world-leading </w:t>
      </w:r>
      <w:r w:rsidR="003604EC">
        <w:rPr>
          <w:rFonts w:ascii="Arial" w:hAnsi="Arial" w:cs="Arial"/>
        </w:rPr>
        <w:t xml:space="preserve">inter-disciplinary </w:t>
      </w:r>
      <w:r w:rsidRPr="007E3A38">
        <w:rPr>
          <w:rFonts w:ascii="Arial" w:hAnsi="Arial" w:cs="Arial"/>
        </w:rPr>
        <w:t>research institute for the study of conflict and peace.</w:t>
      </w:r>
      <w:r w:rsidR="003B56BA">
        <w:rPr>
          <w:rFonts w:ascii="Arial" w:hAnsi="Arial" w:cs="Arial"/>
        </w:rPr>
        <w:t>.</w:t>
      </w:r>
    </w:p>
    <w:p w14:paraId="6184C10D" w14:textId="0BB16516" w:rsidR="00655E4C" w:rsidRPr="008A23B3" w:rsidRDefault="00B04527" w:rsidP="008A23B3">
      <w:pPr>
        <w:pStyle w:val="ListParagraph"/>
        <w:numPr>
          <w:ilvl w:val="0"/>
          <w:numId w:val="2"/>
        </w:numPr>
        <w:spacing w:after="0" w:line="240" w:lineRule="auto"/>
        <w:jc w:val="both"/>
        <w:rPr>
          <w:rFonts w:ascii="Arial" w:hAnsi="Arial" w:cs="Arial"/>
        </w:rPr>
      </w:pPr>
      <w:r w:rsidRPr="008A23B3">
        <w:rPr>
          <w:rFonts w:ascii="Arial" w:hAnsi="Arial" w:cs="Arial"/>
        </w:rPr>
        <w:lastRenderedPageBreak/>
        <w:t xml:space="preserve">At </w:t>
      </w:r>
      <w:r w:rsidR="00655E4C" w:rsidRPr="008A23B3">
        <w:rPr>
          <w:rFonts w:ascii="Arial" w:hAnsi="Arial" w:cs="Arial"/>
        </w:rPr>
        <w:t>CAJ</w:t>
      </w:r>
      <w:r w:rsidRPr="008A23B3">
        <w:rPr>
          <w:rFonts w:ascii="Arial" w:hAnsi="Arial" w:cs="Arial"/>
        </w:rPr>
        <w:t xml:space="preserve"> the researcher will </w:t>
      </w:r>
      <w:r w:rsidR="007E3A38" w:rsidRPr="008A23B3">
        <w:rPr>
          <w:rFonts w:ascii="Arial" w:hAnsi="Arial" w:cs="Arial"/>
        </w:rPr>
        <w:t xml:space="preserve">have access to desk space and will </w:t>
      </w:r>
      <w:r w:rsidR="00655E4C" w:rsidRPr="008A23B3">
        <w:rPr>
          <w:rFonts w:ascii="Arial" w:hAnsi="Arial" w:cs="Arial"/>
        </w:rPr>
        <w:t xml:space="preserve">be fully embedded in the workplace for a minimum of three months. During this time they will work closely with a leading human rights expert </w:t>
      </w:r>
      <w:r w:rsidR="007E3A38" w:rsidRPr="00155E07">
        <w:rPr>
          <w:rFonts w:ascii="Arial" w:hAnsi="Arial" w:cs="Arial"/>
        </w:rPr>
        <w:t>(CAJ Director, Deputy Director and / or solicitor)</w:t>
      </w:r>
      <w:r w:rsidR="00655E4C" w:rsidRPr="00155E07">
        <w:rPr>
          <w:rFonts w:ascii="Arial" w:hAnsi="Arial" w:cs="Arial"/>
        </w:rPr>
        <w:t>.</w:t>
      </w:r>
      <w:r w:rsidR="003604EC" w:rsidRPr="00155E07">
        <w:rPr>
          <w:rFonts w:ascii="Arial" w:hAnsi="Arial" w:cs="Arial"/>
        </w:rPr>
        <w:t xml:space="preserve"> </w:t>
      </w:r>
      <w:r w:rsidR="00655E4C" w:rsidRPr="008A23B3">
        <w:rPr>
          <w:rFonts w:ascii="Arial" w:hAnsi="Arial" w:cs="Arial"/>
        </w:rPr>
        <w:t xml:space="preserve">CAJ has been the primary litigating human rights NGO for successful NI legacy related cases taken to the </w:t>
      </w:r>
      <w:r w:rsidR="003B56BA" w:rsidRPr="008A23B3">
        <w:rPr>
          <w:rFonts w:ascii="Arial" w:hAnsi="Arial" w:cs="Arial"/>
        </w:rPr>
        <w:t>ECtHR</w:t>
      </w:r>
      <w:r w:rsidR="00655E4C" w:rsidRPr="008A23B3">
        <w:rPr>
          <w:rFonts w:ascii="Arial" w:hAnsi="Arial" w:cs="Arial"/>
        </w:rPr>
        <w:t>. Much of th</w:t>
      </w:r>
      <w:r w:rsidR="003604EC">
        <w:rPr>
          <w:rFonts w:ascii="Arial" w:hAnsi="Arial" w:cs="Arial"/>
        </w:rPr>
        <w:t>eir</w:t>
      </w:r>
      <w:r w:rsidR="00655E4C" w:rsidRPr="008A23B3">
        <w:rPr>
          <w:rFonts w:ascii="Arial" w:hAnsi="Arial" w:cs="Arial"/>
        </w:rPr>
        <w:t xml:space="preserve"> work has developed in collaboration with colleagues at QUB Law</w:t>
      </w:r>
      <w:r w:rsidR="007E3A38" w:rsidRPr="008A23B3">
        <w:rPr>
          <w:rFonts w:ascii="Arial" w:hAnsi="Arial" w:cs="Arial"/>
        </w:rPr>
        <w:t xml:space="preserve"> (as part of </w:t>
      </w:r>
      <w:hyperlink r:id="rId12" w:history="1">
        <w:r w:rsidR="007E3A38" w:rsidRPr="008A23B3">
          <w:rPr>
            <w:rStyle w:val="Hyperlink"/>
            <w:rFonts w:ascii="Arial" w:hAnsi="Arial" w:cs="Arial"/>
          </w:rPr>
          <w:t>the Model Bill Team</w:t>
        </w:r>
      </w:hyperlink>
      <w:r w:rsidR="007E3A38" w:rsidRPr="008A23B3">
        <w:rPr>
          <w:rFonts w:ascii="Arial" w:hAnsi="Arial" w:cs="Arial"/>
        </w:rPr>
        <w:t>)</w:t>
      </w:r>
      <w:r w:rsidR="00655E4C" w:rsidRPr="008A23B3">
        <w:rPr>
          <w:rFonts w:ascii="Arial" w:hAnsi="Arial" w:cs="Arial"/>
        </w:rPr>
        <w:t>. These studentships will expand and devel</w:t>
      </w:r>
      <w:r w:rsidR="003B56BA" w:rsidRPr="00155E07">
        <w:rPr>
          <w:rFonts w:ascii="Arial" w:hAnsi="Arial" w:cs="Arial"/>
        </w:rPr>
        <w:t>op this collaboration, enabling</w:t>
      </w:r>
      <w:r w:rsidR="00655E4C" w:rsidRPr="00155E07">
        <w:rPr>
          <w:rFonts w:ascii="Arial" w:hAnsi="Arial" w:cs="Arial"/>
        </w:rPr>
        <w:t xml:space="preserve"> students to experience the mutual benefits of combining academic and </w:t>
      </w:r>
      <w:r w:rsidR="003604EC">
        <w:rPr>
          <w:rFonts w:ascii="Arial" w:hAnsi="Arial" w:cs="Arial"/>
        </w:rPr>
        <w:t xml:space="preserve">human rights </w:t>
      </w:r>
      <w:r w:rsidR="00655E4C" w:rsidRPr="008A23B3">
        <w:rPr>
          <w:rFonts w:ascii="Arial" w:hAnsi="Arial" w:cs="Arial"/>
        </w:rPr>
        <w:t>advocacy approaches.</w:t>
      </w:r>
      <w:r w:rsidR="003B56BA" w:rsidRPr="008A23B3">
        <w:rPr>
          <w:rFonts w:ascii="Arial" w:hAnsi="Arial" w:cs="Arial"/>
        </w:rPr>
        <w:t xml:space="preserve"> </w:t>
      </w:r>
      <w:r w:rsidR="00655E4C" w:rsidRPr="008A23B3">
        <w:rPr>
          <w:rFonts w:ascii="Arial" w:hAnsi="Arial" w:cs="Arial"/>
        </w:rPr>
        <w:t>Any student who completes a doctorate under this</w:t>
      </w:r>
      <w:r w:rsidR="00655E4C" w:rsidRPr="00155E07">
        <w:rPr>
          <w:rFonts w:ascii="Arial" w:hAnsi="Arial" w:cs="Arial"/>
        </w:rPr>
        <w:t xml:space="preserve"> team with the additional experience of having been embedded within CAJ will be extremely well placed for a future career as </w:t>
      </w:r>
      <w:r w:rsidR="003604EC">
        <w:rPr>
          <w:rFonts w:ascii="Arial" w:hAnsi="Arial" w:cs="Arial"/>
        </w:rPr>
        <w:t xml:space="preserve">either an </w:t>
      </w:r>
      <w:r w:rsidR="00655E4C" w:rsidRPr="008A23B3">
        <w:rPr>
          <w:rFonts w:ascii="Arial" w:hAnsi="Arial" w:cs="Arial"/>
        </w:rPr>
        <w:t>academic</w:t>
      </w:r>
      <w:r w:rsidR="003604EC">
        <w:rPr>
          <w:rFonts w:ascii="Arial" w:hAnsi="Arial" w:cs="Arial"/>
        </w:rPr>
        <w:t xml:space="preserve"> or a human rights activist</w:t>
      </w:r>
      <w:r w:rsidR="00655E4C" w:rsidRPr="008A23B3">
        <w:rPr>
          <w:rFonts w:ascii="Arial" w:hAnsi="Arial" w:cs="Arial"/>
        </w:rPr>
        <w:t xml:space="preserve">. </w:t>
      </w:r>
    </w:p>
    <w:p w14:paraId="0EE4595F" w14:textId="77777777" w:rsidR="00B04527" w:rsidRPr="007E3A38" w:rsidRDefault="00B04527" w:rsidP="00E04082">
      <w:pPr>
        <w:spacing w:line="240" w:lineRule="auto"/>
        <w:jc w:val="both"/>
        <w:rPr>
          <w:rFonts w:ascii="Arial" w:hAnsi="Arial" w:cs="Arial"/>
        </w:rPr>
      </w:pPr>
    </w:p>
    <w:p w14:paraId="08D9DD41" w14:textId="18DFFA54" w:rsidR="001A7038" w:rsidRPr="007E3A38" w:rsidRDefault="00E04082" w:rsidP="00E04082">
      <w:pPr>
        <w:spacing w:line="240" w:lineRule="auto"/>
        <w:jc w:val="both"/>
        <w:rPr>
          <w:rFonts w:ascii="Arial" w:hAnsi="Arial" w:cs="Arial"/>
        </w:rPr>
      </w:pPr>
      <w:r w:rsidRPr="007E3A38">
        <w:rPr>
          <w:rFonts w:ascii="Arial" w:hAnsi="Arial" w:cs="Arial"/>
        </w:rPr>
        <w:t>To apply, please complete an application form on the Queen’s University</w:t>
      </w:r>
      <w:r w:rsidRPr="007E3A38">
        <w:rPr>
          <w:rFonts w:ascii="Arial" w:hAnsi="Arial" w:cs="Arial"/>
          <w:b/>
          <w:bCs/>
        </w:rPr>
        <w:t> </w:t>
      </w:r>
      <w:hyperlink r:id="rId13" w:history="1">
        <w:r w:rsidRPr="007E3A38">
          <w:rPr>
            <w:rStyle w:val="Hyperlink"/>
            <w:rFonts w:ascii="Arial" w:hAnsi="Arial" w:cs="Arial"/>
            <w:b/>
            <w:bCs/>
          </w:rPr>
          <w:t>Postgraduate Applications</w:t>
        </w:r>
        <w:bookmarkStart w:id="0" w:name="_GoBack"/>
        <w:bookmarkEnd w:id="0"/>
        <w:r w:rsidRPr="007E3A38">
          <w:rPr>
            <w:rStyle w:val="Hyperlink"/>
            <w:rFonts w:ascii="Arial" w:hAnsi="Arial" w:cs="Arial"/>
            <w:b/>
            <w:bCs/>
          </w:rPr>
          <w:t xml:space="preserve"> </w:t>
        </w:r>
        <w:r w:rsidRPr="007E3A38">
          <w:rPr>
            <w:rStyle w:val="Hyperlink"/>
            <w:rFonts w:ascii="Arial" w:hAnsi="Arial" w:cs="Arial"/>
            <w:b/>
            <w:bCs/>
          </w:rPr>
          <w:t>Portal</w:t>
        </w:r>
      </w:hyperlink>
      <w:r w:rsidR="002B7251" w:rsidRPr="007E3A38">
        <w:rPr>
          <w:rFonts w:ascii="Arial" w:hAnsi="Arial" w:cs="Arial"/>
        </w:rPr>
        <w:t xml:space="preserve"> </w:t>
      </w:r>
      <w:r w:rsidR="00311FE9" w:rsidRPr="007E3A38">
        <w:rPr>
          <w:rFonts w:ascii="Arial" w:hAnsi="Arial" w:cs="Arial"/>
        </w:rPr>
        <w:t xml:space="preserve">including </w:t>
      </w:r>
      <w:r w:rsidR="00311FE9" w:rsidRPr="007E3A38">
        <w:rPr>
          <w:rFonts w:ascii="Arial" w:hAnsi="Arial" w:cs="Arial"/>
          <w:u w:val="single"/>
        </w:rPr>
        <w:t>a</w:t>
      </w:r>
      <w:r w:rsidRPr="007E3A38">
        <w:rPr>
          <w:rFonts w:ascii="Arial" w:hAnsi="Arial" w:cs="Arial"/>
          <w:u w:val="single"/>
        </w:rPr>
        <w:t xml:space="preserve"> curriculum vitae (CV) a</w:t>
      </w:r>
      <w:r w:rsidR="00196963" w:rsidRPr="007E3A38">
        <w:rPr>
          <w:rFonts w:ascii="Arial" w:hAnsi="Arial" w:cs="Arial"/>
          <w:u w:val="single"/>
        </w:rPr>
        <w:t xml:space="preserve">nd a </w:t>
      </w:r>
      <w:r w:rsidR="00D0586C" w:rsidRPr="007E3A38">
        <w:rPr>
          <w:rFonts w:ascii="Arial" w:hAnsi="Arial" w:cs="Arial"/>
          <w:u w:val="single"/>
        </w:rPr>
        <w:t xml:space="preserve">proposal </w:t>
      </w:r>
      <w:r w:rsidR="00196963" w:rsidRPr="007E3A38">
        <w:rPr>
          <w:rFonts w:ascii="Arial" w:hAnsi="Arial" w:cs="Arial"/>
          <w:u w:val="single"/>
        </w:rPr>
        <w:t xml:space="preserve">of </w:t>
      </w:r>
      <w:r w:rsidR="002E5B7B" w:rsidRPr="007E3A38">
        <w:rPr>
          <w:rFonts w:ascii="Arial" w:hAnsi="Arial" w:cs="Arial"/>
          <w:u w:val="single"/>
        </w:rPr>
        <w:t xml:space="preserve">up to </w:t>
      </w:r>
      <w:r w:rsidR="00BC1F19" w:rsidRPr="007E3A38">
        <w:rPr>
          <w:rFonts w:ascii="Arial" w:hAnsi="Arial" w:cs="Arial"/>
          <w:u w:val="single"/>
        </w:rPr>
        <w:t>3</w:t>
      </w:r>
      <w:r w:rsidR="008760BB" w:rsidRPr="007E3A38">
        <w:rPr>
          <w:rFonts w:ascii="Arial" w:hAnsi="Arial" w:cs="Arial"/>
          <w:u w:val="single"/>
        </w:rPr>
        <w:t>000</w:t>
      </w:r>
      <w:r w:rsidR="00196963" w:rsidRPr="007E3A38">
        <w:rPr>
          <w:rFonts w:ascii="Arial" w:hAnsi="Arial" w:cs="Arial"/>
          <w:u w:val="single"/>
        </w:rPr>
        <w:t> </w:t>
      </w:r>
      <w:r w:rsidRPr="007E3A38">
        <w:rPr>
          <w:rFonts w:ascii="Arial" w:hAnsi="Arial" w:cs="Arial"/>
          <w:u w:val="single"/>
        </w:rPr>
        <w:t>words</w:t>
      </w:r>
      <w:r w:rsidR="00D0586C" w:rsidRPr="007E3A38">
        <w:rPr>
          <w:rFonts w:ascii="Arial" w:hAnsi="Arial" w:cs="Arial"/>
          <w:u w:val="single"/>
        </w:rPr>
        <w:t xml:space="preserve"> (including references but excluding bibliography)</w:t>
      </w:r>
      <w:r w:rsidR="002B7251" w:rsidRPr="007E3A38">
        <w:rPr>
          <w:rFonts w:ascii="Arial" w:hAnsi="Arial" w:cs="Arial"/>
          <w:u w:val="single"/>
        </w:rPr>
        <w:t>.</w:t>
      </w:r>
      <w:r w:rsidR="001A7038" w:rsidRPr="007E3A38">
        <w:rPr>
          <w:rFonts w:ascii="Arial" w:hAnsi="Arial" w:cs="Arial"/>
        </w:rPr>
        <w:t xml:space="preserve"> In the </w:t>
      </w:r>
      <w:r w:rsidR="0060031B" w:rsidRPr="007E3A38">
        <w:rPr>
          <w:rFonts w:ascii="Arial" w:hAnsi="Arial" w:cs="Arial"/>
        </w:rPr>
        <w:t>proposal</w:t>
      </w:r>
      <w:r w:rsidR="001A7038" w:rsidRPr="007E3A38">
        <w:rPr>
          <w:rFonts w:ascii="Arial" w:hAnsi="Arial" w:cs="Arial"/>
        </w:rPr>
        <w:t xml:space="preserve">, applicants should demonstrate their understanding of key concepts and </w:t>
      </w:r>
      <w:r w:rsidR="003B56BA">
        <w:rPr>
          <w:rFonts w:ascii="Arial" w:hAnsi="Arial" w:cs="Arial"/>
        </w:rPr>
        <w:t xml:space="preserve">the relevant academic </w:t>
      </w:r>
      <w:r w:rsidR="001A7038" w:rsidRPr="007E3A38">
        <w:rPr>
          <w:rFonts w:ascii="Arial" w:hAnsi="Arial" w:cs="Arial"/>
        </w:rPr>
        <w:t xml:space="preserve">literature </w:t>
      </w:r>
      <w:r w:rsidR="003B56BA">
        <w:rPr>
          <w:rFonts w:ascii="Arial" w:hAnsi="Arial" w:cs="Arial"/>
        </w:rPr>
        <w:t>concerning either</w:t>
      </w:r>
      <w:r w:rsidR="000D2747" w:rsidRPr="007E3A38">
        <w:rPr>
          <w:rFonts w:ascii="Arial" w:hAnsi="Arial" w:cs="Arial"/>
        </w:rPr>
        <w:t xml:space="preserve"> </w:t>
      </w:r>
      <w:r w:rsidR="00BC1F19" w:rsidRPr="007E3A38">
        <w:rPr>
          <w:rFonts w:ascii="Arial" w:hAnsi="Arial" w:cs="Arial"/>
          <w:b/>
          <w:i/>
        </w:rPr>
        <w:t>Dealing with the Past in Northern Ireland: Truth, Accountability and the Rule of Law</w:t>
      </w:r>
      <w:r w:rsidR="00BC1F19" w:rsidRPr="007E3A38">
        <w:rPr>
          <w:rFonts w:ascii="Arial" w:hAnsi="Arial" w:cs="Arial"/>
          <w:b/>
        </w:rPr>
        <w:t xml:space="preserve"> </w:t>
      </w:r>
      <w:r w:rsidR="00BC1F19" w:rsidRPr="007E3A38">
        <w:rPr>
          <w:rFonts w:ascii="Arial" w:hAnsi="Arial" w:cs="Arial"/>
          <w:u w:val="single"/>
        </w:rPr>
        <w:t>or</w:t>
      </w:r>
      <w:r w:rsidR="00BC1F19" w:rsidRPr="007E3A38">
        <w:rPr>
          <w:rFonts w:ascii="Arial" w:hAnsi="Arial" w:cs="Arial"/>
        </w:rPr>
        <w:t xml:space="preserve"> </w:t>
      </w:r>
      <w:r w:rsidR="00BC1F19" w:rsidRPr="007E3A38">
        <w:rPr>
          <w:rFonts w:ascii="Arial" w:hAnsi="Arial" w:cs="Arial"/>
          <w:b/>
          <w:i/>
        </w:rPr>
        <w:t>The Role of Oral Testimony</w:t>
      </w:r>
      <w:r w:rsidR="003B56BA">
        <w:rPr>
          <w:rFonts w:ascii="Arial" w:hAnsi="Arial" w:cs="Arial"/>
          <w:b/>
          <w:i/>
        </w:rPr>
        <w:t xml:space="preserve"> and Narrative</w:t>
      </w:r>
      <w:r w:rsidR="00BC1F19" w:rsidRPr="007E3A38">
        <w:rPr>
          <w:rFonts w:ascii="Arial" w:hAnsi="Arial" w:cs="Arial"/>
          <w:b/>
          <w:i/>
        </w:rPr>
        <w:t xml:space="preserve"> in Dealing with the Legacy of </w:t>
      </w:r>
      <w:r w:rsidR="003B56BA">
        <w:rPr>
          <w:rFonts w:ascii="Arial" w:hAnsi="Arial" w:cs="Arial"/>
          <w:b/>
          <w:i/>
        </w:rPr>
        <w:t>Conflict</w:t>
      </w:r>
      <w:r w:rsidR="003B56BA">
        <w:rPr>
          <w:rFonts w:ascii="Arial" w:hAnsi="Arial" w:cs="Arial"/>
          <w:lang w:val="en-US"/>
        </w:rPr>
        <w:t xml:space="preserve">. They should also identify potential research questions and identify </w:t>
      </w:r>
      <w:r w:rsidR="001A7038" w:rsidRPr="007E3A38">
        <w:rPr>
          <w:rFonts w:ascii="Arial" w:hAnsi="Arial" w:cs="Arial"/>
        </w:rPr>
        <w:t xml:space="preserve">methods they </w:t>
      </w:r>
      <w:r w:rsidR="003B56BA">
        <w:rPr>
          <w:rFonts w:ascii="Arial" w:hAnsi="Arial" w:cs="Arial"/>
        </w:rPr>
        <w:t>propose to apply</w:t>
      </w:r>
      <w:r w:rsidR="001A7038" w:rsidRPr="007E3A38">
        <w:rPr>
          <w:rFonts w:ascii="Arial" w:hAnsi="Arial" w:cs="Arial"/>
        </w:rPr>
        <w:t xml:space="preserve"> if awarded this studentship. </w:t>
      </w:r>
      <w:r w:rsidR="008A23B3">
        <w:rPr>
          <w:rFonts w:ascii="Arial" w:hAnsi="Arial" w:cs="Arial"/>
        </w:rPr>
        <w:t>Candidates may be considered for both awards.</w:t>
      </w:r>
    </w:p>
    <w:p w14:paraId="2909B66B" w14:textId="0BE3C348" w:rsidR="009A56C6" w:rsidRPr="007E3A38" w:rsidRDefault="009A56C6" w:rsidP="00E04082">
      <w:pPr>
        <w:spacing w:line="240" w:lineRule="auto"/>
        <w:jc w:val="both"/>
        <w:rPr>
          <w:rFonts w:ascii="Arial" w:hAnsi="Arial" w:cs="Arial"/>
          <w:b/>
          <w:bCs/>
        </w:rPr>
      </w:pPr>
      <w:r w:rsidRPr="007E3A38">
        <w:rPr>
          <w:rFonts w:ascii="Arial" w:hAnsi="Arial" w:cs="Arial"/>
          <w:b/>
          <w:bCs/>
        </w:rPr>
        <w:t xml:space="preserve">The closing date for applications is </w:t>
      </w:r>
      <w:r w:rsidR="00745F0D" w:rsidRPr="007E3A38">
        <w:rPr>
          <w:rFonts w:ascii="Arial" w:hAnsi="Arial" w:cs="Arial"/>
          <w:b/>
          <w:bCs/>
        </w:rPr>
        <w:t>Tues</w:t>
      </w:r>
      <w:r w:rsidR="00A1062D" w:rsidRPr="007E3A38">
        <w:rPr>
          <w:rFonts w:ascii="Arial" w:hAnsi="Arial" w:cs="Arial"/>
          <w:b/>
          <w:bCs/>
        </w:rPr>
        <w:t>day 31 May 2021</w:t>
      </w:r>
      <w:r w:rsidR="008760BB" w:rsidRPr="007E3A38">
        <w:rPr>
          <w:rFonts w:ascii="Arial" w:hAnsi="Arial" w:cs="Arial"/>
          <w:b/>
          <w:bCs/>
        </w:rPr>
        <w:t xml:space="preserve"> at </w:t>
      </w:r>
      <w:r w:rsidR="004D5D5C" w:rsidRPr="007E3A38">
        <w:rPr>
          <w:rFonts w:ascii="Arial" w:hAnsi="Arial" w:cs="Arial"/>
          <w:b/>
          <w:bCs/>
        </w:rPr>
        <w:t>4pm</w:t>
      </w:r>
      <w:r w:rsidR="00A1062D" w:rsidRPr="007E3A38">
        <w:rPr>
          <w:rFonts w:ascii="Arial" w:hAnsi="Arial" w:cs="Arial"/>
          <w:b/>
          <w:bCs/>
        </w:rPr>
        <w:t>.</w:t>
      </w:r>
    </w:p>
    <w:p w14:paraId="74A7FC5D" w14:textId="28766E19" w:rsidR="002E5B7B" w:rsidRPr="007E3A38" w:rsidRDefault="002E5B7B" w:rsidP="00E04082">
      <w:pPr>
        <w:spacing w:line="240" w:lineRule="auto"/>
        <w:jc w:val="both"/>
        <w:rPr>
          <w:rFonts w:ascii="Arial" w:hAnsi="Arial" w:cs="Arial"/>
          <w:b/>
          <w:bCs/>
        </w:rPr>
      </w:pPr>
      <w:r w:rsidRPr="007E3A38">
        <w:rPr>
          <w:rFonts w:ascii="Arial" w:hAnsi="Arial" w:cs="Arial"/>
          <w:b/>
          <w:bCs/>
        </w:rPr>
        <w:t xml:space="preserve">Shortlisted candidates will be interviewed (online) during </w:t>
      </w:r>
      <w:r w:rsidR="008760BB" w:rsidRPr="007E3A38">
        <w:rPr>
          <w:rFonts w:ascii="Arial" w:hAnsi="Arial" w:cs="Arial"/>
          <w:b/>
          <w:bCs/>
        </w:rPr>
        <w:t>June</w:t>
      </w:r>
      <w:r w:rsidR="00EC7CA4" w:rsidRPr="007E3A38">
        <w:rPr>
          <w:rFonts w:ascii="Arial" w:hAnsi="Arial" w:cs="Arial"/>
          <w:b/>
          <w:bCs/>
        </w:rPr>
        <w:t xml:space="preserve"> </w:t>
      </w:r>
      <w:r w:rsidR="003B56BA">
        <w:rPr>
          <w:rFonts w:ascii="Arial" w:hAnsi="Arial" w:cs="Arial"/>
          <w:b/>
          <w:bCs/>
        </w:rPr>
        <w:t>(</w:t>
      </w:r>
      <w:r w:rsidRPr="007E3A38">
        <w:rPr>
          <w:rFonts w:ascii="Arial" w:hAnsi="Arial" w:cs="Arial"/>
          <w:b/>
          <w:bCs/>
        </w:rPr>
        <w:t xml:space="preserve">time and date </w:t>
      </w:r>
      <w:r w:rsidR="003B56BA">
        <w:rPr>
          <w:rFonts w:ascii="Arial" w:hAnsi="Arial" w:cs="Arial"/>
          <w:b/>
          <w:bCs/>
        </w:rPr>
        <w:t>tbc)</w:t>
      </w:r>
      <w:r w:rsidRPr="007E3A38">
        <w:rPr>
          <w:rFonts w:ascii="Arial" w:hAnsi="Arial" w:cs="Arial"/>
          <w:b/>
          <w:bCs/>
        </w:rPr>
        <w:t>.</w:t>
      </w:r>
    </w:p>
    <w:p w14:paraId="6B895F4A" w14:textId="2D3741CD" w:rsidR="00E112DE" w:rsidRPr="007E3A38" w:rsidRDefault="005444B4" w:rsidP="00E04082">
      <w:pPr>
        <w:spacing w:line="240" w:lineRule="auto"/>
        <w:jc w:val="both"/>
        <w:rPr>
          <w:rFonts w:ascii="Arial" w:hAnsi="Arial" w:cs="Arial"/>
          <w:b/>
          <w:bCs/>
        </w:rPr>
      </w:pPr>
      <w:r w:rsidRPr="007E3A38">
        <w:rPr>
          <w:rFonts w:ascii="Arial" w:hAnsi="Arial" w:cs="Arial"/>
          <w:b/>
          <w:bCs/>
        </w:rPr>
        <w:t xml:space="preserve">Candidates will be notified </w:t>
      </w:r>
      <w:r w:rsidR="003B56BA">
        <w:rPr>
          <w:rFonts w:ascii="Arial" w:hAnsi="Arial" w:cs="Arial"/>
          <w:b/>
          <w:bCs/>
        </w:rPr>
        <w:t xml:space="preserve">of the outcome </w:t>
      </w:r>
      <w:r w:rsidRPr="007E3A38">
        <w:rPr>
          <w:rFonts w:ascii="Arial" w:hAnsi="Arial" w:cs="Arial"/>
          <w:b/>
          <w:bCs/>
        </w:rPr>
        <w:t xml:space="preserve">by </w:t>
      </w:r>
      <w:r w:rsidR="000019DD" w:rsidRPr="007E3A38">
        <w:rPr>
          <w:rFonts w:ascii="Arial" w:hAnsi="Arial" w:cs="Arial"/>
          <w:b/>
          <w:bCs/>
        </w:rPr>
        <w:t xml:space="preserve">the end of </w:t>
      </w:r>
      <w:r w:rsidR="008760BB" w:rsidRPr="007E3A38">
        <w:rPr>
          <w:rFonts w:ascii="Arial" w:hAnsi="Arial" w:cs="Arial"/>
          <w:b/>
          <w:bCs/>
        </w:rPr>
        <w:t>Ju</w:t>
      </w:r>
      <w:r w:rsidR="00EC7CA4" w:rsidRPr="007E3A38">
        <w:rPr>
          <w:rFonts w:ascii="Arial" w:hAnsi="Arial" w:cs="Arial"/>
          <w:b/>
          <w:bCs/>
        </w:rPr>
        <w:t>ne/beginning of July</w:t>
      </w:r>
      <w:r w:rsidR="00E112DE" w:rsidRPr="007E3A38">
        <w:rPr>
          <w:rFonts w:ascii="Arial" w:hAnsi="Arial" w:cs="Arial"/>
          <w:b/>
          <w:bCs/>
        </w:rPr>
        <w:t xml:space="preserve">. </w:t>
      </w:r>
    </w:p>
    <w:p w14:paraId="4F7E4E16" w14:textId="29EA08D3" w:rsidR="00BC1F19" w:rsidRPr="003B56BA" w:rsidRDefault="00125B18" w:rsidP="00E112DE">
      <w:pPr>
        <w:spacing w:line="240" w:lineRule="auto"/>
        <w:rPr>
          <w:rFonts w:ascii="Arial" w:hAnsi="Arial" w:cs="Arial"/>
          <w:b/>
          <w:bCs/>
          <w:color w:val="FF0000"/>
        </w:rPr>
      </w:pPr>
      <w:r w:rsidRPr="007E3A38">
        <w:rPr>
          <w:rFonts w:ascii="Arial" w:hAnsi="Arial" w:cs="Arial"/>
          <w:b/>
          <w:bCs/>
          <w:color w:val="FF0000"/>
        </w:rPr>
        <w:t>Please insert LAW</w:t>
      </w:r>
      <w:r w:rsidR="00BC1F19" w:rsidRPr="007E3A38">
        <w:rPr>
          <w:rFonts w:ascii="Arial" w:hAnsi="Arial" w:cs="Arial"/>
          <w:b/>
          <w:bCs/>
          <w:color w:val="FF0000"/>
        </w:rPr>
        <w:t>/CAJ</w:t>
      </w:r>
      <w:r w:rsidR="00F570C3" w:rsidRPr="007E3A38">
        <w:rPr>
          <w:rFonts w:ascii="Arial" w:hAnsi="Arial" w:cs="Arial"/>
          <w:b/>
          <w:bCs/>
          <w:color w:val="FF0000"/>
        </w:rPr>
        <w:t xml:space="preserve"> </w:t>
      </w:r>
      <w:r w:rsidR="00311FE9" w:rsidRPr="007E3A38">
        <w:rPr>
          <w:rFonts w:ascii="Arial" w:hAnsi="Arial" w:cs="Arial"/>
          <w:b/>
          <w:bCs/>
          <w:color w:val="FF0000"/>
        </w:rPr>
        <w:t>into the Funding section within your application form.</w:t>
      </w:r>
    </w:p>
    <w:p w14:paraId="3CBB4378" w14:textId="77777777" w:rsidR="00311FE9" w:rsidRPr="007E3A38" w:rsidRDefault="00311FE9" w:rsidP="00520E8C">
      <w:pPr>
        <w:spacing w:line="240" w:lineRule="auto"/>
        <w:jc w:val="both"/>
        <w:rPr>
          <w:rFonts w:ascii="Arial" w:hAnsi="Arial" w:cs="Arial"/>
          <w:b/>
        </w:rPr>
      </w:pPr>
      <w:r w:rsidRPr="007E3A38">
        <w:rPr>
          <w:rFonts w:ascii="Arial" w:hAnsi="Arial" w:cs="Arial"/>
          <w:b/>
        </w:rPr>
        <w:t xml:space="preserve">ELIGIBILITY </w:t>
      </w:r>
    </w:p>
    <w:p w14:paraId="771831C0" w14:textId="77777777" w:rsidR="00311FE9" w:rsidRPr="007E3A38" w:rsidRDefault="00311FE9" w:rsidP="00520E8C">
      <w:pPr>
        <w:numPr>
          <w:ilvl w:val="0"/>
          <w:numId w:val="3"/>
        </w:numPr>
        <w:spacing w:line="240" w:lineRule="auto"/>
        <w:jc w:val="both"/>
        <w:rPr>
          <w:rFonts w:ascii="Arial" w:hAnsi="Arial" w:cs="Arial"/>
          <w:lang w:val="en"/>
        </w:rPr>
      </w:pPr>
      <w:r w:rsidRPr="007E3A38">
        <w:rPr>
          <w:rFonts w:ascii="Arial" w:hAnsi="Arial" w:cs="Arial"/>
          <w:lang w:val="en"/>
        </w:rPr>
        <w:t xml:space="preserve">UK residents: fees plus </w:t>
      </w:r>
      <w:r w:rsidR="002E5B7B" w:rsidRPr="007E3A38">
        <w:rPr>
          <w:rFonts w:ascii="Arial" w:hAnsi="Arial" w:cs="Arial"/>
          <w:lang w:val="en"/>
        </w:rPr>
        <w:t>stipend</w:t>
      </w:r>
      <w:r w:rsidRPr="007E3A38">
        <w:rPr>
          <w:rFonts w:ascii="Arial" w:hAnsi="Arial" w:cs="Arial"/>
          <w:lang w:val="en"/>
        </w:rPr>
        <w:t>. </w:t>
      </w:r>
    </w:p>
    <w:p w14:paraId="763986D0" w14:textId="77777777" w:rsidR="00D161E4" w:rsidRPr="007E3A38" w:rsidRDefault="00311FE9" w:rsidP="00520E8C">
      <w:pPr>
        <w:numPr>
          <w:ilvl w:val="0"/>
          <w:numId w:val="3"/>
        </w:numPr>
        <w:spacing w:line="240" w:lineRule="auto"/>
        <w:jc w:val="both"/>
        <w:rPr>
          <w:rFonts w:ascii="Arial" w:hAnsi="Arial" w:cs="Arial"/>
          <w:lang w:val="en"/>
        </w:rPr>
      </w:pPr>
      <w:r w:rsidRPr="007E3A38">
        <w:rPr>
          <w:rFonts w:ascii="Arial" w:hAnsi="Arial" w:cs="Arial"/>
          <w:lang w:val="en"/>
        </w:rPr>
        <w:t xml:space="preserve">Other EU residents: fees only. </w:t>
      </w:r>
    </w:p>
    <w:p w14:paraId="2C108E20" w14:textId="77777777" w:rsidR="00196645" w:rsidRPr="007E3A38" w:rsidRDefault="00EF24DD" w:rsidP="00520E8C">
      <w:pPr>
        <w:pStyle w:val="ListParagraph"/>
        <w:numPr>
          <w:ilvl w:val="0"/>
          <w:numId w:val="3"/>
        </w:numPr>
        <w:spacing w:line="240" w:lineRule="auto"/>
        <w:jc w:val="both"/>
        <w:rPr>
          <w:rFonts w:ascii="Arial" w:hAnsi="Arial" w:cs="Arial"/>
          <w:lang w:val="en"/>
        </w:rPr>
      </w:pPr>
      <w:r w:rsidRPr="007E3A38">
        <w:rPr>
          <w:rFonts w:ascii="Arial" w:hAnsi="Arial" w:cs="Arial"/>
          <w:lang w:val="en"/>
        </w:rPr>
        <w:t>Please note this studentship is not available to international students.</w:t>
      </w:r>
    </w:p>
    <w:p w14:paraId="3FAD47DC" w14:textId="31E3422E" w:rsidR="00196645" w:rsidRPr="007E3A38" w:rsidRDefault="00196645" w:rsidP="00125B18">
      <w:pPr>
        <w:spacing w:line="240" w:lineRule="auto"/>
        <w:jc w:val="both"/>
        <w:rPr>
          <w:rFonts w:ascii="Arial" w:hAnsi="Arial" w:cs="Arial"/>
          <w:lang w:val="en"/>
        </w:rPr>
      </w:pPr>
      <w:r w:rsidRPr="007E3A38">
        <w:rPr>
          <w:rFonts w:ascii="Arial" w:hAnsi="Arial" w:cs="Arial"/>
        </w:rPr>
        <w:t>For further details re eligibility criteria (including academic, citizenship and residency criteria) please click on the </w:t>
      </w:r>
      <w:hyperlink r:id="rId14" w:history="1">
        <w:r w:rsidRPr="007E3A38">
          <w:rPr>
            <w:rStyle w:val="Hyperlink"/>
            <w:rFonts w:ascii="Arial" w:hAnsi="Arial" w:cs="Arial"/>
          </w:rPr>
          <w:t>DfE Research Eligibility Guidance Notes</w:t>
        </w:r>
      </w:hyperlink>
    </w:p>
    <w:p w14:paraId="4A06F01C" w14:textId="0BE231CC" w:rsidR="00B45558" w:rsidRPr="007E3A38" w:rsidRDefault="00B45558" w:rsidP="00520E8C">
      <w:pPr>
        <w:numPr>
          <w:ilvl w:val="0"/>
          <w:numId w:val="3"/>
        </w:numPr>
        <w:spacing w:line="240" w:lineRule="auto"/>
        <w:jc w:val="both"/>
        <w:rPr>
          <w:rFonts w:ascii="Arial" w:hAnsi="Arial" w:cs="Arial"/>
          <w:lang w:val="en"/>
        </w:rPr>
      </w:pPr>
      <w:r w:rsidRPr="007E3A38">
        <w:rPr>
          <w:rFonts w:ascii="Arial" w:hAnsi="Arial" w:cs="Arial"/>
          <w:lang w:val="en"/>
        </w:rPr>
        <w:t xml:space="preserve">Study can only be </w:t>
      </w:r>
      <w:r w:rsidR="00CA6227" w:rsidRPr="007E3A38">
        <w:rPr>
          <w:rFonts w:ascii="Arial" w:hAnsi="Arial" w:cs="Arial"/>
          <w:lang w:val="en"/>
        </w:rPr>
        <w:t>undertaken on a full-time basis from October 2022</w:t>
      </w:r>
    </w:p>
    <w:p w14:paraId="07364348" w14:textId="35258059" w:rsidR="00EF24DD" w:rsidRPr="007E3A38" w:rsidRDefault="00EF24DD" w:rsidP="00520E8C">
      <w:pPr>
        <w:pStyle w:val="xmsonormal"/>
        <w:numPr>
          <w:ilvl w:val="0"/>
          <w:numId w:val="3"/>
        </w:numPr>
        <w:jc w:val="both"/>
        <w:rPr>
          <w:rFonts w:ascii="Arial" w:hAnsi="Arial" w:cs="Arial"/>
          <w:lang w:val="en-GB"/>
        </w:rPr>
      </w:pPr>
      <w:r w:rsidRPr="007E3A38">
        <w:rPr>
          <w:rFonts w:ascii="Arial" w:hAnsi="Arial" w:cs="Arial"/>
          <w:lang w:val="en-GB"/>
        </w:rPr>
        <w:t>Qualifications:</w:t>
      </w:r>
    </w:p>
    <w:p w14:paraId="7AB99A4A" w14:textId="77777777" w:rsidR="00125B18" w:rsidRPr="007E3A38" w:rsidRDefault="00125B18" w:rsidP="00125B18">
      <w:pPr>
        <w:pStyle w:val="xmsonormal"/>
        <w:ind w:left="720"/>
        <w:jc w:val="both"/>
        <w:rPr>
          <w:rFonts w:ascii="Arial" w:hAnsi="Arial" w:cs="Arial"/>
          <w:lang w:val="en-GB"/>
        </w:rPr>
      </w:pPr>
    </w:p>
    <w:p w14:paraId="27A301A0" w14:textId="2F7FB258" w:rsidR="00212E90" w:rsidRPr="003B56BA" w:rsidRDefault="00212E90" w:rsidP="003B56BA">
      <w:pPr>
        <w:pStyle w:val="xmsonormal"/>
        <w:numPr>
          <w:ilvl w:val="1"/>
          <w:numId w:val="3"/>
        </w:numPr>
        <w:contextualSpacing/>
        <w:jc w:val="both"/>
        <w:rPr>
          <w:rFonts w:ascii="Arial" w:hAnsi="Arial" w:cs="Arial"/>
          <w:lang w:val="en-GB"/>
        </w:rPr>
      </w:pPr>
      <w:r w:rsidRPr="007E3A38">
        <w:rPr>
          <w:rFonts w:ascii="Arial" w:hAnsi="Arial" w:cs="Arial"/>
          <w:lang w:val="en-GB"/>
        </w:rPr>
        <w:t>An Upper Second or First Class Honours degree (or equivalent qualification acceptable to the University) in law or another relevant discipline, plus a Master's degree (or equivalent qualification acceptable to the University) with an average above 6</w:t>
      </w:r>
      <w:r w:rsidR="003604EC">
        <w:rPr>
          <w:rFonts w:ascii="Arial" w:hAnsi="Arial" w:cs="Arial"/>
          <w:lang w:val="en-GB"/>
        </w:rPr>
        <w:t>5</w:t>
      </w:r>
      <w:r w:rsidRPr="007E3A38">
        <w:rPr>
          <w:rFonts w:ascii="Arial" w:hAnsi="Arial" w:cs="Arial"/>
          <w:lang w:val="en-GB"/>
        </w:rPr>
        <w:t xml:space="preserve">%. </w:t>
      </w:r>
    </w:p>
    <w:p w14:paraId="22921CF1" w14:textId="27D5D95A" w:rsidR="00212E90" w:rsidRPr="003B56BA" w:rsidRDefault="00212E90" w:rsidP="003B56BA">
      <w:pPr>
        <w:pStyle w:val="xmsonormal"/>
        <w:numPr>
          <w:ilvl w:val="1"/>
          <w:numId w:val="3"/>
        </w:numPr>
        <w:contextualSpacing/>
        <w:jc w:val="both"/>
        <w:rPr>
          <w:rFonts w:ascii="Arial" w:hAnsi="Arial" w:cs="Arial"/>
          <w:lang w:val="en-GB"/>
        </w:rPr>
      </w:pPr>
      <w:r w:rsidRPr="007E3A38">
        <w:rPr>
          <w:rFonts w:ascii="Arial" w:hAnsi="Arial" w:cs="Arial"/>
          <w:lang w:val="en-GB"/>
        </w:rPr>
        <w:t xml:space="preserve">Applicants with an Upper Second or First Class Honours degree (or equivalent qualification acceptable to the University) in law or another relevant discipline who are currently studying a Master’s degree (or </w:t>
      </w:r>
      <w:r w:rsidRPr="007E3A38">
        <w:rPr>
          <w:rFonts w:ascii="Arial" w:hAnsi="Arial" w:cs="Arial"/>
          <w:lang w:val="en-GB"/>
        </w:rPr>
        <w:lastRenderedPageBreak/>
        <w:t xml:space="preserve">equivalent qualification acceptable to the University) </w:t>
      </w:r>
      <w:r w:rsidR="00CC2487">
        <w:rPr>
          <w:rFonts w:ascii="Arial" w:hAnsi="Arial" w:cs="Arial"/>
          <w:lang w:val="en-GB"/>
        </w:rPr>
        <w:t>may</w:t>
      </w:r>
      <w:r w:rsidRPr="007E3A38">
        <w:rPr>
          <w:rFonts w:ascii="Arial" w:hAnsi="Arial" w:cs="Arial"/>
          <w:lang w:val="en-GB"/>
        </w:rPr>
        <w:t xml:space="preserve"> also be considered. </w:t>
      </w:r>
    </w:p>
    <w:p w14:paraId="5A6D11B5" w14:textId="29573337" w:rsidR="00212E90" w:rsidRPr="007E3A38" w:rsidRDefault="00212E90" w:rsidP="003B56BA">
      <w:pPr>
        <w:pStyle w:val="xmsonormal"/>
        <w:numPr>
          <w:ilvl w:val="1"/>
          <w:numId w:val="3"/>
        </w:numPr>
        <w:contextualSpacing/>
        <w:jc w:val="both"/>
        <w:rPr>
          <w:rFonts w:ascii="Arial" w:hAnsi="Arial" w:cs="Arial"/>
          <w:lang w:val="en-GB"/>
        </w:rPr>
      </w:pPr>
      <w:r w:rsidRPr="007E3A38">
        <w:rPr>
          <w:rFonts w:ascii="Arial" w:hAnsi="Arial" w:cs="Arial"/>
          <w:lang w:val="en-GB"/>
        </w:rPr>
        <w:t>Applicants with an Upper Second or First Class Honours degree (or equivalent qualification acceptable to the University) in law or another relevant discipline plus evidence of ability to conduct independent and original research will be considered on a case by case basis.</w:t>
      </w:r>
    </w:p>
    <w:p w14:paraId="254D2386" w14:textId="77777777" w:rsidR="00EF24DD" w:rsidRPr="007E3A38" w:rsidRDefault="00EF24DD" w:rsidP="00520E8C">
      <w:pPr>
        <w:pStyle w:val="ListParagraph"/>
        <w:jc w:val="both"/>
        <w:rPr>
          <w:rFonts w:ascii="Arial" w:hAnsi="Arial" w:cs="Arial"/>
        </w:rPr>
      </w:pPr>
    </w:p>
    <w:p w14:paraId="1B588C32" w14:textId="50E99A08" w:rsidR="00EF24DD" w:rsidRPr="00E57F31" w:rsidRDefault="00EF24DD" w:rsidP="00520E8C">
      <w:pPr>
        <w:pStyle w:val="ListParagraph"/>
        <w:numPr>
          <w:ilvl w:val="0"/>
          <w:numId w:val="3"/>
        </w:numPr>
        <w:spacing w:line="240" w:lineRule="auto"/>
        <w:jc w:val="both"/>
        <w:rPr>
          <w:rFonts w:ascii="Arial" w:hAnsi="Arial" w:cs="Arial"/>
          <w:lang w:val="en"/>
        </w:rPr>
      </w:pPr>
      <w:r w:rsidRPr="007E3A38">
        <w:rPr>
          <w:rFonts w:ascii="Arial" w:hAnsi="Arial" w:cs="Arial"/>
          <w:lang w:val="en"/>
        </w:rPr>
        <w:t xml:space="preserve">For further details re eligibility criteria (including academic, citizenship and residency criteria) please see the </w:t>
      </w:r>
      <w:hyperlink r:id="rId15" w:history="1">
        <w:r w:rsidRPr="007E3A38">
          <w:rPr>
            <w:rStyle w:val="Hyperlink"/>
            <w:rFonts w:ascii="Arial" w:hAnsi="Arial" w:cs="Arial"/>
            <w:b/>
            <w:lang w:val="en"/>
          </w:rPr>
          <w:t>DfE Research Eligibility Guidance Notes</w:t>
        </w:r>
      </w:hyperlink>
      <w:r w:rsidRPr="007E3A38">
        <w:rPr>
          <w:rFonts w:ascii="Arial" w:hAnsi="Arial" w:cs="Arial"/>
          <w:b/>
          <w:lang w:val="en"/>
        </w:rPr>
        <w:t>.</w:t>
      </w:r>
    </w:p>
    <w:p w14:paraId="2CC70A5C" w14:textId="6AE54303" w:rsidR="00E57F31" w:rsidRDefault="00E57F31" w:rsidP="00E57F31">
      <w:pPr>
        <w:pStyle w:val="ListParagraph"/>
        <w:spacing w:line="240" w:lineRule="auto"/>
        <w:jc w:val="both"/>
        <w:rPr>
          <w:rFonts w:ascii="Arial" w:hAnsi="Arial" w:cs="Arial"/>
          <w:lang w:val="en"/>
        </w:rPr>
      </w:pPr>
    </w:p>
    <w:p w14:paraId="7848B0E3" w14:textId="17B6FCC3" w:rsidR="00E57F31" w:rsidRDefault="00E57F31" w:rsidP="00E57F31">
      <w:pPr>
        <w:pStyle w:val="ListParagraph"/>
        <w:spacing w:line="240" w:lineRule="auto"/>
        <w:jc w:val="both"/>
        <w:rPr>
          <w:rFonts w:ascii="Arial" w:hAnsi="Arial" w:cs="Arial"/>
          <w:lang w:val="en"/>
        </w:rPr>
      </w:pPr>
    </w:p>
    <w:p w14:paraId="620B87E6" w14:textId="6F697232" w:rsidR="00E57F31" w:rsidRDefault="00E57F31" w:rsidP="00E57F31">
      <w:pPr>
        <w:pStyle w:val="ListParagraph"/>
        <w:spacing w:line="240" w:lineRule="auto"/>
        <w:jc w:val="both"/>
        <w:rPr>
          <w:rFonts w:ascii="Arial" w:hAnsi="Arial" w:cs="Arial"/>
          <w:lang w:val="en"/>
        </w:rPr>
      </w:pPr>
    </w:p>
    <w:p w14:paraId="3B4EDABB" w14:textId="77777777" w:rsidR="00E57F31" w:rsidRPr="007E3A38" w:rsidRDefault="00E57F31" w:rsidP="00E57F31">
      <w:pPr>
        <w:pStyle w:val="ListParagraph"/>
        <w:spacing w:line="240" w:lineRule="auto"/>
        <w:jc w:val="both"/>
        <w:rPr>
          <w:rFonts w:ascii="Arial" w:hAnsi="Arial" w:cs="Arial"/>
          <w:lang w:val="en"/>
        </w:rPr>
      </w:pPr>
    </w:p>
    <w:p w14:paraId="6826BD0B" w14:textId="77777777" w:rsidR="00033F30" w:rsidRPr="00033F30" w:rsidRDefault="00033F30" w:rsidP="00D65FFA">
      <w:pPr>
        <w:shd w:val="clear" w:color="auto" w:fill="DEEAF6" w:themeFill="accent1" w:themeFillTint="33"/>
        <w:spacing w:line="240" w:lineRule="auto"/>
        <w:jc w:val="both"/>
        <w:rPr>
          <w:rFonts w:ascii="Arial" w:hAnsi="Arial" w:cs="Arial"/>
          <w:b/>
        </w:rPr>
      </w:pPr>
      <w:r w:rsidRPr="00033F30">
        <w:rPr>
          <w:rFonts w:ascii="Arial" w:hAnsi="Arial" w:cs="Arial"/>
          <w:b/>
        </w:rPr>
        <w:t>PROJECT NO. 1</w:t>
      </w:r>
    </w:p>
    <w:p w14:paraId="46C69DF3" w14:textId="77777777" w:rsidR="00D65FFA" w:rsidRDefault="00D65FFA" w:rsidP="00033F30">
      <w:pPr>
        <w:spacing w:line="240" w:lineRule="auto"/>
        <w:jc w:val="both"/>
        <w:rPr>
          <w:rFonts w:ascii="Arial" w:hAnsi="Arial" w:cs="Arial"/>
          <w:b/>
          <w:color w:val="000000"/>
        </w:rPr>
      </w:pPr>
    </w:p>
    <w:p w14:paraId="312F4084" w14:textId="5CEB8E8D" w:rsidR="00033F30" w:rsidRDefault="00033F30" w:rsidP="00D65FFA">
      <w:pPr>
        <w:shd w:val="clear" w:color="auto" w:fill="F2F2F2" w:themeFill="background1" w:themeFillShade="F2"/>
        <w:spacing w:line="240" w:lineRule="auto"/>
        <w:jc w:val="both"/>
        <w:rPr>
          <w:rFonts w:ascii="Arial" w:hAnsi="Arial" w:cs="Arial"/>
          <w:color w:val="1F497D"/>
        </w:rPr>
      </w:pPr>
      <w:r w:rsidRPr="00033F30">
        <w:rPr>
          <w:rFonts w:ascii="Arial" w:hAnsi="Arial" w:cs="Arial"/>
          <w:b/>
          <w:color w:val="000000"/>
        </w:rPr>
        <w:t>Dealing With the Past in Northern Ireland: Truth, Accountability and the Rule of Law</w:t>
      </w:r>
      <w:r w:rsidRPr="00033F30">
        <w:rPr>
          <w:rFonts w:ascii="Arial" w:hAnsi="Arial" w:cs="Arial"/>
          <w:color w:val="1F497D"/>
        </w:rPr>
        <w:t> </w:t>
      </w:r>
    </w:p>
    <w:p w14:paraId="54E71124" w14:textId="74FCEBAE" w:rsidR="00D65FFA" w:rsidRPr="00033F30" w:rsidRDefault="00D65FFA" w:rsidP="00D65FFA">
      <w:pPr>
        <w:spacing w:line="240" w:lineRule="auto"/>
        <w:jc w:val="both"/>
        <w:rPr>
          <w:rFonts w:ascii="Arial" w:hAnsi="Arial" w:cs="Arial"/>
          <w:lang w:val="en-US"/>
        </w:rPr>
      </w:pPr>
      <w:r>
        <w:rPr>
          <w:rFonts w:ascii="Arial" w:hAnsi="Arial" w:cs="Arial"/>
          <w:b/>
          <w:i/>
          <w:shd w:val="clear" w:color="auto" w:fill="F2F2F2" w:themeFill="background1" w:themeFillShade="F2"/>
        </w:rPr>
        <w:t xml:space="preserve">QUB Supervisory Team: </w:t>
      </w:r>
      <w:r w:rsidR="00AB6A30">
        <w:rPr>
          <w:rFonts w:ascii="Arial" w:hAnsi="Arial" w:cs="Arial"/>
          <w:b/>
          <w:i/>
          <w:shd w:val="clear" w:color="auto" w:fill="F2F2F2" w:themeFill="background1" w:themeFillShade="F2"/>
        </w:rPr>
        <w:t>Professor Kieran McEvoy and Dr Kevin Hearty</w:t>
      </w:r>
    </w:p>
    <w:p w14:paraId="788C229C" w14:textId="77777777" w:rsidR="00D65FFA" w:rsidRDefault="00D65FFA" w:rsidP="00033F30">
      <w:pPr>
        <w:spacing w:line="240" w:lineRule="auto"/>
        <w:jc w:val="both"/>
        <w:rPr>
          <w:rFonts w:ascii="Arial" w:hAnsi="Arial" w:cs="Arial"/>
          <w:bCs/>
        </w:rPr>
      </w:pPr>
    </w:p>
    <w:p w14:paraId="0996505A" w14:textId="27C09A6D" w:rsidR="00033F30" w:rsidRPr="00033F30" w:rsidRDefault="00033F30" w:rsidP="00033F30">
      <w:pPr>
        <w:spacing w:line="240" w:lineRule="auto"/>
        <w:jc w:val="both"/>
        <w:rPr>
          <w:rFonts w:ascii="Arial" w:hAnsi="Arial" w:cs="Arial"/>
          <w:bCs/>
        </w:rPr>
      </w:pPr>
      <w:r w:rsidRPr="00033F30">
        <w:rPr>
          <w:rFonts w:ascii="Arial" w:hAnsi="Arial" w:cs="Arial"/>
          <w:bCs/>
        </w:rPr>
        <w:t xml:space="preserve">In July 2021 the UK government issued a Command Paper signalling its intent to finally initiate legislation to deal with the legacy of the conflict. Such legislation has been promised since the UK and Irish governments together with four of the five local parties signed up to the Stormont House Agreement in 2014. However, the Command Paper represents a radical departure from that Agreement. Once enacted, it will see all conflict related prosecutions, police investigations, inquests, civil actions and possibly judicial reviews closed down as part of a sweeping and unconditional general amnesty. In addition, an Information Recovery Body is proposed, with limited legal powers and an explicit focus on reconciliation. These proposals are opposed by all of the NI political parties, victims’ groups, the Churches, and they have been heavily criticised by the UN and the Council of Europe on human rights grounds. </w:t>
      </w:r>
    </w:p>
    <w:p w14:paraId="669537ED" w14:textId="6A162A1C" w:rsidR="00033F30" w:rsidRPr="00033F30" w:rsidRDefault="00155E07" w:rsidP="00033F30">
      <w:pPr>
        <w:spacing w:line="240" w:lineRule="auto"/>
        <w:jc w:val="both"/>
        <w:rPr>
          <w:rFonts w:ascii="Arial" w:hAnsi="Arial" w:cs="Arial"/>
          <w:bCs/>
        </w:rPr>
      </w:pPr>
      <w:r>
        <w:rPr>
          <w:rFonts w:ascii="Arial" w:hAnsi="Arial" w:cs="Arial"/>
          <w:bCs/>
        </w:rPr>
        <w:t xml:space="preserve">Drawing upon, for example, transitional justice, human rights, socio-legal studies or other relevant frameworks </w:t>
      </w:r>
      <w:r w:rsidR="00033F30" w:rsidRPr="00033F30">
        <w:rPr>
          <w:rFonts w:ascii="Arial" w:hAnsi="Arial" w:cs="Arial"/>
          <w:bCs/>
        </w:rPr>
        <w:t xml:space="preserve">this project will examine the legal and political outworkings of a) the enactment of the NI-related amnesty b) the proposed Information Recovery Body and c) the inevitable legal challenges to the operation of both as well as related legacy litigation already before the courts. In particular it will focus on three inter-related themes: (i) Accountability (ii) Truth Recovery (iii) the Rule of Law. </w:t>
      </w:r>
    </w:p>
    <w:p w14:paraId="058F77E3" w14:textId="64F00113" w:rsidR="00033F30" w:rsidRPr="00AB6A30" w:rsidRDefault="00033F30" w:rsidP="00AB6A30">
      <w:pPr>
        <w:jc w:val="both"/>
        <w:rPr>
          <w:rFonts w:ascii="Arial" w:hAnsi="Arial" w:cs="Arial"/>
        </w:rPr>
      </w:pPr>
      <w:r w:rsidRPr="00AB6A30">
        <w:rPr>
          <w:rFonts w:ascii="Arial" w:hAnsi="Arial" w:cs="Arial"/>
        </w:rPr>
        <w:t>This project would build on work that McEvoy and Hearty have been developing in the field of transitional justice for the past several years. McEvoy is a FBA, MRIA and world-leading authority on transitional justice having worked in over a dozen post-conflict societies. Since 2013, he has been leading a team working on legacy issues in NI involving colleagues at QUB and CAJ – the partner organisation herein. Hearty has published extensively on the NI transition from conflict, was previously a PDRF at the Mitchell Institute (also working on legacy issues in NI) and was recently appointed to his first permanent position as a lecturer in Criminology</w:t>
      </w:r>
      <w:r w:rsidR="008A23B3">
        <w:rPr>
          <w:rFonts w:ascii="Arial" w:hAnsi="Arial" w:cs="Arial"/>
        </w:rPr>
        <w:t xml:space="preserve"> </w:t>
      </w:r>
      <w:r w:rsidRPr="00AB6A30">
        <w:rPr>
          <w:rFonts w:ascii="Arial" w:hAnsi="Arial" w:cs="Arial"/>
        </w:rPr>
        <w:t xml:space="preserve">in </w:t>
      </w:r>
      <w:r w:rsidR="00155E07">
        <w:rPr>
          <w:rFonts w:ascii="Arial" w:hAnsi="Arial" w:cs="Arial"/>
        </w:rPr>
        <w:t xml:space="preserve">Queens. </w:t>
      </w:r>
      <w:r w:rsidRPr="00AB6A30">
        <w:rPr>
          <w:rFonts w:ascii="Arial" w:hAnsi="Arial" w:cs="Arial"/>
        </w:rPr>
        <w:t xml:space="preserve"> </w:t>
      </w:r>
      <w:r w:rsidRPr="00AB6A30">
        <w:rPr>
          <w:rFonts w:ascii="Arial" w:hAnsi="Arial" w:cs="Arial"/>
        </w:rPr>
        <w:lastRenderedPageBreak/>
        <w:t>McEvoy has successfully supervised approximately 20 PhD students, all but three as primary supervisor</w:t>
      </w:r>
      <w:r w:rsidR="00155E07">
        <w:rPr>
          <w:rFonts w:ascii="Arial" w:hAnsi="Arial" w:cs="Arial"/>
        </w:rPr>
        <w:t xml:space="preserve"> and in 2016 was awarded the student nominated </w:t>
      </w:r>
      <w:r w:rsidR="00155E07" w:rsidRPr="00155E07">
        <w:rPr>
          <w:rFonts w:ascii="Arial" w:hAnsi="Arial" w:cs="Arial"/>
        </w:rPr>
        <w:t>QUB PhD Supervisory Excellence Award Faculty of Arts, Humanities and Social Science</w:t>
      </w:r>
      <w:r w:rsidRPr="00AB6A30">
        <w:rPr>
          <w:rFonts w:ascii="Arial" w:hAnsi="Arial" w:cs="Arial"/>
        </w:rPr>
        <w:t xml:space="preserve">. </w:t>
      </w:r>
    </w:p>
    <w:p w14:paraId="273BAC48" w14:textId="77777777" w:rsidR="00D65FFA" w:rsidRPr="00AB6A30" w:rsidRDefault="00D65FFA" w:rsidP="00AB6A30">
      <w:pPr>
        <w:jc w:val="both"/>
        <w:rPr>
          <w:rFonts w:ascii="Arial" w:hAnsi="Arial" w:cs="Arial"/>
          <w:b/>
        </w:rPr>
      </w:pPr>
    </w:p>
    <w:p w14:paraId="1063E56D" w14:textId="16EFE45D" w:rsidR="00033F30" w:rsidRPr="00033F30" w:rsidRDefault="00033F30" w:rsidP="00033F30">
      <w:pPr>
        <w:spacing w:line="240" w:lineRule="auto"/>
        <w:jc w:val="both"/>
        <w:rPr>
          <w:rFonts w:ascii="Arial" w:hAnsi="Arial" w:cs="Arial"/>
          <w:b/>
          <w:lang w:val="en-US"/>
        </w:rPr>
      </w:pPr>
      <w:r w:rsidRPr="00033F30">
        <w:rPr>
          <w:rFonts w:ascii="Arial" w:hAnsi="Arial" w:cs="Arial"/>
          <w:b/>
          <w:u w:val="single"/>
          <w:lang w:val="en-US"/>
        </w:rPr>
        <w:t>Further information</w:t>
      </w:r>
      <w:r w:rsidRPr="00033F30">
        <w:rPr>
          <w:rFonts w:ascii="Arial" w:hAnsi="Arial" w:cs="Arial"/>
          <w:b/>
          <w:lang w:val="en-US"/>
        </w:rPr>
        <w:t>: Contact Professor Kieran McEvoy (</w:t>
      </w:r>
      <w:hyperlink r:id="rId16" w:history="1">
        <w:r w:rsidRPr="00033F30">
          <w:rPr>
            <w:rStyle w:val="Hyperlink"/>
            <w:rFonts w:ascii="Arial" w:hAnsi="Arial" w:cs="Arial"/>
            <w:b/>
            <w:lang w:val="en-US"/>
          </w:rPr>
          <w:t>k.mcevoy@qub.ac.uk</w:t>
        </w:r>
      </w:hyperlink>
      <w:r w:rsidRPr="00033F30">
        <w:rPr>
          <w:rFonts w:ascii="Arial" w:hAnsi="Arial" w:cs="Arial"/>
          <w:b/>
          <w:lang w:val="en-US"/>
        </w:rPr>
        <w:t xml:space="preserve">)  </w:t>
      </w:r>
    </w:p>
    <w:p w14:paraId="6BF6EB72" w14:textId="0C187192" w:rsidR="00033F30" w:rsidRPr="00033F30" w:rsidRDefault="00033F30" w:rsidP="00033F30">
      <w:pPr>
        <w:spacing w:line="240" w:lineRule="auto"/>
        <w:jc w:val="both"/>
        <w:rPr>
          <w:rFonts w:ascii="Arial" w:hAnsi="Arial" w:cs="Arial"/>
          <w:bCs/>
        </w:rPr>
      </w:pPr>
    </w:p>
    <w:p w14:paraId="20C9A0D8" w14:textId="722C37C9" w:rsidR="00033F30" w:rsidRPr="00033F30" w:rsidRDefault="00033F30" w:rsidP="00033F30">
      <w:pPr>
        <w:spacing w:line="240" w:lineRule="auto"/>
        <w:jc w:val="both"/>
        <w:rPr>
          <w:rFonts w:ascii="Arial" w:hAnsi="Arial" w:cs="Arial"/>
          <w:bCs/>
        </w:rPr>
      </w:pPr>
    </w:p>
    <w:p w14:paraId="25651880" w14:textId="3F9398CA" w:rsidR="00033F30" w:rsidRDefault="00033F30" w:rsidP="00033F30">
      <w:pPr>
        <w:spacing w:line="240" w:lineRule="auto"/>
        <w:jc w:val="both"/>
        <w:rPr>
          <w:rFonts w:ascii="Arial" w:hAnsi="Arial" w:cs="Arial"/>
          <w:bCs/>
        </w:rPr>
      </w:pPr>
    </w:p>
    <w:p w14:paraId="1C594EE8" w14:textId="2934E5BC" w:rsidR="00033F30" w:rsidRDefault="00033F30" w:rsidP="00033F30">
      <w:pPr>
        <w:spacing w:line="240" w:lineRule="auto"/>
        <w:rPr>
          <w:rFonts w:ascii="Arial" w:hAnsi="Arial" w:cs="Arial"/>
          <w:bCs/>
        </w:rPr>
      </w:pPr>
    </w:p>
    <w:p w14:paraId="6D5E33C3" w14:textId="66662D90" w:rsidR="00033F30" w:rsidRDefault="00033F30" w:rsidP="00033F30">
      <w:pPr>
        <w:spacing w:line="240" w:lineRule="auto"/>
        <w:rPr>
          <w:rFonts w:ascii="Arial" w:hAnsi="Arial" w:cs="Arial"/>
          <w:bCs/>
        </w:rPr>
      </w:pPr>
    </w:p>
    <w:p w14:paraId="78EECA38" w14:textId="7BD0CF89" w:rsidR="00E57F31" w:rsidRDefault="00E57F31" w:rsidP="00033F30">
      <w:pPr>
        <w:spacing w:line="240" w:lineRule="auto"/>
        <w:rPr>
          <w:rFonts w:ascii="Arial" w:hAnsi="Arial" w:cs="Arial"/>
          <w:bCs/>
        </w:rPr>
      </w:pPr>
    </w:p>
    <w:p w14:paraId="14B6AB17" w14:textId="3ECE4F9F" w:rsidR="00E57F31" w:rsidRDefault="00E57F31" w:rsidP="00033F30">
      <w:pPr>
        <w:spacing w:line="240" w:lineRule="auto"/>
        <w:rPr>
          <w:rFonts w:ascii="Arial" w:hAnsi="Arial" w:cs="Arial"/>
          <w:bCs/>
        </w:rPr>
      </w:pPr>
    </w:p>
    <w:p w14:paraId="0BD15E6E" w14:textId="77777777" w:rsidR="00E57F31" w:rsidRDefault="00E57F31" w:rsidP="00033F30">
      <w:pPr>
        <w:spacing w:line="240" w:lineRule="auto"/>
        <w:rPr>
          <w:rFonts w:ascii="Arial" w:hAnsi="Arial" w:cs="Arial"/>
          <w:bCs/>
        </w:rPr>
      </w:pPr>
    </w:p>
    <w:p w14:paraId="333F115A" w14:textId="15896E08" w:rsidR="00033F30" w:rsidRDefault="00033F30" w:rsidP="00033F30">
      <w:pPr>
        <w:spacing w:line="240" w:lineRule="auto"/>
        <w:rPr>
          <w:rFonts w:ascii="Arial" w:hAnsi="Arial" w:cs="Arial"/>
          <w:bCs/>
        </w:rPr>
      </w:pPr>
    </w:p>
    <w:p w14:paraId="544EF58F" w14:textId="742F41D1" w:rsidR="00033F30" w:rsidRDefault="00033F30" w:rsidP="00033F30">
      <w:pPr>
        <w:spacing w:line="240" w:lineRule="auto"/>
        <w:rPr>
          <w:rFonts w:ascii="Arial" w:hAnsi="Arial" w:cs="Arial"/>
          <w:bCs/>
        </w:rPr>
      </w:pPr>
    </w:p>
    <w:p w14:paraId="7AB36627" w14:textId="77777777" w:rsidR="00033F30" w:rsidRPr="00033F30" w:rsidRDefault="00033F30" w:rsidP="00D65FFA">
      <w:pPr>
        <w:shd w:val="clear" w:color="auto" w:fill="DEEAF6" w:themeFill="accent1" w:themeFillTint="33"/>
        <w:spacing w:line="240" w:lineRule="auto"/>
        <w:rPr>
          <w:rFonts w:ascii="Arial" w:hAnsi="Arial" w:cs="Arial"/>
          <w:b/>
        </w:rPr>
      </w:pPr>
      <w:r w:rsidRPr="00033F30">
        <w:rPr>
          <w:rFonts w:ascii="Arial" w:hAnsi="Arial" w:cs="Arial"/>
          <w:b/>
        </w:rPr>
        <w:t>PROJECT NO. 2</w:t>
      </w:r>
    </w:p>
    <w:p w14:paraId="2F879707" w14:textId="77777777" w:rsidR="00033F30" w:rsidRDefault="00033F30" w:rsidP="00033F30">
      <w:pPr>
        <w:spacing w:line="240" w:lineRule="auto"/>
        <w:jc w:val="both"/>
        <w:rPr>
          <w:rFonts w:ascii="Arial" w:hAnsi="Arial" w:cs="Arial"/>
          <w:b/>
          <w:i/>
        </w:rPr>
      </w:pPr>
    </w:p>
    <w:p w14:paraId="2008B1EB" w14:textId="100DD013" w:rsidR="00033F30" w:rsidRDefault="00033F30" w:rsidP="00033F30">
      <w:pPr>
        <w:spacing w:line="240" w:lineRule="auto"/>
        <w:jc w:val="both"/>
        <w:rPr>
          <w:rFonts w:ascii="Arial" w:hAnsi="Arial" w:cs="Arial"/>
          <w:b/>
          <w:i/>
          <w:shd w:val="clear" w:color="auto" w:fill="F2F2F2" w:themeFill="background1" w:themeFillShade="F2"/>
        </w:rPr>
      </w:pPr>
      <w:r w:rsidRPr="00033F30">
        <w:rPr>
          <w:rFonts w:ascii="Arial" w:hAnsi="Arial" w:cs="Arial"/>
          <w:b/>
          <w:i/>
          <w:shd w:val="clear" w:color="auto" w:fill="F2F2F2" w:themeFill="background1" w:themeFillShade="F2"/>
        </w:rPr>
        <w:t xml:space="preserve">The Role of Oral </w:t>
      </w:r>
      <w:r w:rsidR="00CC2487">
        <w:rPr>
          <w:rFonts w:ascii="Arial" w:hAnsi="Arial" w:cs="Arial"/>
          <w:b/>
          <w:i/>
          <w:shd w:val="clear" w:color="auto" w:fill="F2F2F2" w:themeFill="background1" w:themeFillShade="F2"/>
        </w:rPr>
        <w:t>History</w:t>
      </w:r>
      <w:r w:rsidRPr="00033F30">
        <w:rPr>
          <w:rFonts w:ascii="Arial" w:hAnsi="Arial" w:cs="Arial"/>
          <w:b/>
          <w:i/>
          <w:shd w:val="clear" w:color="auto" w:fill="F2F2F2" w:themeFill="background1" w:themeFillShade="F2"/>
        </w:rPr>
        <w:t xml:space="preserve"> in Dealing with the Legacy of Conflict</w:t>
      </w:r>
    </w:p>
    <w:p w14:paraId="6A2733DF" w14:textId="5D448452" w:rsidR="00D65FFA" w:rsidRPr="00033F30" w:rsidRDefault="00D65FFA" w:rsidP="00033F30">
      <w:pPr>
        <w:spacing w:line="240" w:lineRule="auto"/>
        <w:jc w:val="both"/>
        <w:rPr>
          <w:rFonts w:ascii="Arial" w:hAnsi="Arial" w:cs="Arial"/>
          <w:lang w:val="en-US"/>
        </w:rPr>
      </w:pPr>
      <w:r>
        <w:rPr>
          <w:rFonts w:ascii="Arial" w:hAnsi="Arial" w:cs="Arial"/>
          <w:b/>
          <w:i/>
          <w:shd w:val="clear" w:color="auto" w:fill="F2F2F2" w:themeFill="background1" w:themeFillShade="F2"/>
        </w:rPr>
        <w:t>QUB Supervisory Team: Dr Anna Bryson and Dr Lauren Dempster</w:t>
      </w:r>
    </w:p>
    <w:p w14:paraId="4F62DC2E" w14:textId="7C40C389" w:rsidR="00033F30" w:rsidRPr="00033F30" w:rsidRDefault="00033F30" w:rsidP="00033F30">
      <w:pPr>
        <w:jc w:val="both"/>
        <w:rPr>
          <w:rFonts w:ascii="Arial" w:hAnsi="Arial" w:cs="Arial"/>
        </w:rPr>
      </w:pPr>
      <w:r w:rsidRPr="00033F30">
        <w:rPr>
          <w:rFonts w:ascii="Arial" w:hAnsi="Arial" w:cs="Arial"/>
        </w:rPr>
        <w:t xml:space="preserve">Despite widespread acceptance that oral </w:t>
      </w:r>
      <w:r w:rsidR="00CC2487">
        <w:rPr>
          <w:rFonts w:ascii="Arial" w:hAnsi="Arial" w:cs="Arial"/>
        </w:rPr>
        <w:t>history</w:t>
      </w:r>
      <w:r w:rsidRPr="00033F30">
        <w:rPr>
          <w:rFonts w:ascii="Arial" w:hAnsi="Arial" w:cs="Arial"/>
        </w:rPr>
        <w:t xml:space="preserve"> </w:t>
      </w:r>
      <w:r w:rsidR="00E57F31">
        <w:rPr>
          <w:rFonts w:ascii="Arial" w:hAnsi="Arial" w:cs="Arial"/>
        </w:rPr>
        <w:t>has a key role to play in the pursuit of justice and accountability and that collecting and preserving oral narratives is central to the humanisation of conflict and the objective of non-recurrence</w:t>
      </w:r>
      <w:r w:rsidRPr="00033F30">
        <w:rPr>
          <w:rFonts w:ascii="Arial" w:hAnsi="Arial" w:cs="Arial"/>
        </w:rPr>
        <w:t xml:space="preserve">, the theoretical literature is rarely informed by detailed empirical assessment of its remit and function. This gap is particularly apparent in light of the fact that oral history and memorialisation initiatives have moved centre-stage in the UK government’s proposals to deal with the legacy of the NI conflict. </w:t>
      </w:r>
    </w:p>
    <w:p w14:paraId="1EA5ADD9" w14:textId="77777777" w:rsidR="00033F30" w:rsidRPr="00033F30" w:rsidRDefault="00033F30" w:rsidP="00033F30">
      <w:pPr>
        <w:jc w:val="both"/>
        <w:rPr>
          <w:rFonts w:ascii="Arial" w:hAnsi="Arial" w:cs="Arial"/>
          <w:bCs/>
        </w:rPr>
      </w:pPr>
      <w:r w:rsidRPr="00033F30">
        <w:rPr>
          <w:rFonts w:ascii="Arial" w:hAnsi="Arial" w:cs="Arial"/>
          <w:bCs/>
        </w:rPr>
        <w:t>Indicative core themes include:</w:t>
      </w:r>
    </w:p>
    <w:p w14:paraId="550B2F34" w14:textId="6E8059F1" w:rsidR="00033F30" w:rsidRPr="00033F30" w:rsidRDefault="00033F30" w:rsidP="00033F30">
      <w:pPr>
        <w:jc w:val="both"/>
        <w:rPr>
          <w:rFonts w:ascii="Arial" w:hAnsi="Arial" w:cs="Arial"/>
          <w:bCs/>
        </w:rPr>
      </w:pPr>
      <w:r w:rsidRPr="00033F30">
        <w:rPr>
          <w:rFonts w:ascii="Arial" w:hAnsi="Arial" w:cs="Arial"/>
          <w:bCs/>
          <w:u w:val="single"/>
        </w:rPr>
        <w:t>Oral Testimony and the Law</w:t>
      </w:r>
      <w:r w:rsidRPr="00033F30">
        <w:rPr>
          <w:rFonts w:ascii="Arial" w:hAnsi="Arial" w:cs="Arial"/>
          <w:bCs/>
        </w:rPr>
        <w:t xml:space="preserve">, including: the role of law (in particular criminal and civil liability) in shaping the construction, delivery and reception of oral testimony whether for court proceedings or as part of oral history and memorialisation processes designed to help repair past harms. This would be informed by </w:t>
      </w:r>
      <w:r w:rsidR="00E57F31">
        <w:rPr>
          <w:rFonts w:ascii="Arial" w:hAnsi="Arial" w:cs="Arial"/>
          <w:bCs/>
        </w:rPr>
        <w:t>case studies such as</w:t>
      </w:r>
      <w:r w:rsidRPr="00033F30">
        <w:rPr>
          <w:rFonts w:ascii="Arial" w:hAnsi="Arial" w:cs="Arial"/>
          <w:bCs/>
        </w:rPr>
        <w:t xml:space="preserve"> the notorious Boston College Tapes project which has attracted significant media coverage but has yet (despite the serious ethical, legal and reputational issues at stake) to receive detailed academic scrutiny.</w:t>
      </w:r>
    </w:p>
    <w:p w14:paraId="291EC1C6" w14:textId="77777777" w:rsidR="00033F30" w:rsidRPr="00033F30" w:rsidRDefault="00033F30" w:rsidP="00033F30">
      <w:pPr>
        <w:jc w:val="both"/>
        <w:rPr>
          <w:rFonts w:ascii="Arial" w:hAnsi="Arial" w:cs="Arial"/>
        </w:rPr>
      </w:pPr>
      <w:r w:rsidRPr="00033F30">
        <w:rPr>
          <w:rFonts w:ascii="Arial" w:hAnsi="Arial" w:cs="Arial"/>
          <w:u w:val="single"/>
        </w:rPr>
        <w:t>Oral Testimony, Acknowledgement and Truth</w:t>
      </w:r>
      <w:r w:rsidRPr="00033F30">
        <w:rPr>
          <w:rFonts w:ascii="Arial" w:hAnsi="Arial" w:cs="Arial"/>
        </w:rPr>
        <w:t xml:space="preserve">, including: whether and how oral testimony can function as a form of truth recovery; if acknowledgement is distinct from </w:t>
      </w:r>
      <w:r w:rsidRPr="00033F30">
        <w:rPr>
          <w:rFonts w:ascii="Arial" w:hAnsi="Arial" w:cs="Arial"/>
        </w:rPr>
        <w:lastRenderedPageBreak/>
        <w:t>truth recovery when linked to oral history; or if indeed oral history and memorialisation initiatives may be used to 'close down' public conversations, obfuscate, or minimise personal or institutional</w:t>
      </w:r>
      <w:r w:rsidRPr="00033F30">
        <w:rPr>
          <w:rFonts w:ascii="Arial" w:hAnsi="Arial" w:cs="Arial"/>
          <w:spacing w:val="-2"/>
        </w:rPr>
        <w:t xml:space="preserve"> </w:t>
      </w:r>
      <w:r w:rsidRPr="00033F30">
        <w:rPr>
          <w:rFonts w:ascii="Arial" w:hAnsi="Arial" w:cs="Arial"/>
        </w:rPr>
        <w:t xml:space="preserve">culpability as a form of ‘performative redress’. </w:t>
      </w:r>
    </w:p>
    <w:p w14:paraId="1BFC8147" w14:textId="60DE9178" w:rsidR="00033F30" w:rsidRDefault="00033F30" w:rsidP="00033F30">
      <w:pPr>
        <w:jc w:val="both"/>
        <w:rPr>
          <w:rFonts w:ascii="Arial" w:hAnsi="Arial" w:cs="Arial"/>
        </w:rPr>
      </w:pPr>
      <w:r w:rsidRPr="00033F30">
        <w:rPr>
          <w:rFonts w:ascii="Arial" w:hAnsi="Arial" w:cs="Arial"/>
        </w:rPr>
        <w:t xml:space="preserve">This project would build on work that Bryson and Dempster have been developing in the field of transitional justice for the past several years. Bryson is an acknowledged expert on the role of oral history in transitional justice (she won a QUB Vice Chancellor’s research prize for her work in this area). Dempster has worked extensively on issues concerning forced disappearances and more recently on the role of memorialisation as a form of human rights activism ‘from below’ (e.g. involvement in programme that started in Chile to mark </w:t>
      </w:r>
      <w:r w:rsidRPr="00033F30">
        <w:rPr>
          <w:rFonts w:ascii="Arial" w:hAnsi="Arial" w:cs="Arial"/>
          <w:color w:val="202020"/>
          <w:shd w:val="clear" w:color="auto" w:fill="FFFFFF"/>
        </w:rPr>
        <w:t xml:space="preserve">International Day for the Right to the Truth Concerning Gross Human Rights Violations and for the Dignity of Victims). </w:t>
      </w:r>
      <w:r w:rsidRPr="00033F30">
        <w:rPr>
          <w:rFonts w:ascii="Arial" w:hAnsi="Arial" w:cs="Arial"/>
        </w:rPr>
        <w:t>This PhD project is envisaged as a gateway to an ambitious international research programme focusing on the role of oral history and memorialization in upholding standards of international law (building democratic cultures and facilita</w:t>
      </w:r>
      <w:r w:rsidR="00E57F31">
        <w:rPr>
          <w:rFonts w:ascii="Arial" w:hAnsi="Arial" w:cs="Arial"/>
        </w:rPr>
        <w:t>ting truth recovery, reparation and</w:t>
      </w:r>
      <w:r w:rsidRPr="00033F30">
        <w:rPr>
          <w:rFonts w:ascii="Arial" w:hAnsi="Arial" w:cs="Arial"/>
        </w:rPr>
        <w:t xml:space="preserve"> acknowledgment). </w:t>
      </w:r>
    </w:p>
    <w:p w14:paraId="1F84885A" w14:textId="77777777" w:rsidR="00D65FFA" w:rsidRPr="00033F30" w:rsidRDefault="00D65FFA" w:rsidP="00033F30">
      <w:pPr>
        <w:jc w:val="both"/>
        <w:rPr>
          <w:rFonts w:ascii="Arial" w:hAnsi="Arial" w:cs="Arial"/>
          <w:b/>
        </w:rPr>
      </w:pPr>
    </w:p>
    <w:p w14:paraId="38AA36B6" w14:textId="56256D5D" w:rsidR="00EB0B01" w:rsidRPr="00033F30" w:rsidRDefault="00EB0B01" w:rsidP="00033F30">
      <w:pPr>
        <w:jc w:val="both"/>
        <w:rPr>
          <w:rFonts w:ascii="Arial" w:hAnsi="Arial" w:cs="Arial"/>
          <w:b/>
          <w:lang w:val="en-US"/>
        </w:rPr>
      </w:pPr>
      <w:r w:rsidRPr="00033F30">
        <w:rPr>
          <w:rFonts w:ascii="Arial" w:hAnsi="Arial" w:cs="Arial"/>
          <w:b/>
          <w:u w:val="single"/>
          <w:lang w:val="en-US"/>
        </w:rPr>
        <w:t>Further information</w:t>
      </w:r>
      <w:r w:rsidRPr="00033F30">
        <w:rPr>
          <w:rFonts w:ascii="Arial" w:hAnsi="Arial" w:cs="Arial"/>
          <w:b/>
          <w:lang w:val="en-US"/>
        </w:rPr>
        <w:t>: Contact Dr Anna Bryson (</w:t>
      </w:r>
      <w:hyperlink r:id="rId17" w:history="1">
        <w:r w:rsidRPr="00033F30">
          <w:rPr>
            <w:rStyle w:val="Hyperlink"/>
            <w:rFonts w:ascii="Arial" w:hAnsi="Arial" w:cs="Arial"/>
            <w:b/>
            <w:lang w:val="en-US"/>
          </w:rPr>
          <w:t>a.bryson@qub.ac.uk</w:t>
        </w:r>
      </w:hyperlink>
      <w:r w:rsidRPr="00033F30">
        <w:rPr>
          <w:rFonts w:ascii="Arial" w:hAnsi="Arial" w:cs="Arial"/>
          <w:b/>
          <w:lang w:val="en-US"/>
        </w:rPr>
        <w:t xml:space="preserve">)  </w:t>
      </w:r>
    </w:p>
    <w:p w14:paraId="198AEE7F" w14:textId="77777777" w:rsidR="00EB0B01" w:rsidRPr="00033F30" w:rsidRDefault="00EB0B01" w:rsidP="00033F30">
      <w:pPr>
        <w:jc w:val="both"/>
        <w:rPr>
          <w:rFonts w:ascii="Arial" w:hAnsi="Arial" w:cs="Arial"/>
        </w:rPr>
      </w:pPr>
    </w:p>
    <w:sectPr w:rsidR="00EB0B01" w:rsidRPr="00033F3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2499EC" w14:textId="77777777" w:rsidR="00033F30" w:rsidRDefault="00033F30" w:rsidP="00033F30">
      <w:pPr>
        <w:spacing w:after="0" w:line="240" w:lineRule="auto"/>
      </w:pPr>
      <w:r>
        <w:separator/>
      </w:r>
    </w:p>
  </w:endnote>
  <w:endnote w:type="continuationSeparator" w:id="0">
    <w:p w14:paraId="07D3B4D5" w14:textId="77777777" w:rsidR="00033F30" w:rsidRDefault="00033F30" w:rsidP="00033F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6F06BE" w14:textId="77777777" w:rsidR="00033F30" w:rsidRDefault="00033F30" w:rsidP="00033F30">
      <w:pPr>
        <w:spacing w:after="0" w:line="240" w:lineRule="auto"/>
      </w:pPr>
      <w:r>
        <w:separator/>
      </w:r>
    </w:p>
  </w:footnote>
  <w:footnote w:type="continuationSeparator" w:id="0">
    <w:p w14:paraId="1A507EA1" w14:textId="77777777" w:rsidR="00033F30" w:rsidRDefault="00033F30" w:rsidP="00033F3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8A6111"/>
    <w:multiLevelType w:val="multilevel"/>
    <w:tmpl w:val="432AFFA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0647C9C"/>
    <w:multiLevelType w:val="multilevel"/>
    <w:tmpl w:val="AF62E33A"/>
    <w:lvl w:ilvl="0">
      <w:start w:val="1"/>
      <w:numFmt w:val="decimal"/>
      <w:lvlText w:val="%1."/>
      <w:lvlJc w:val="left"/>
      <w:pPr>
        <w:tabs>
          <w:tab w:val="num" w:pos="360"/>
        </w:tabs>
        <w:ind w:left="360" w:hanging="360"/>
      </w:pPr>
      <w:rPr>
        <w:rFonts w:ascii="Arial" w:hAnsi="Arial" w:cs="Arial" w:hint="default"/>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 w15:restartNumberingAfterBreak="0">
    <w:nsid w:val="155F0BEB"/>
    <w:multiLevelType w:val="hybridMultilevel"/>
    <w:tmpl w:val="ACCEE7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3AA58E1"/>
    <w:multiLevelType w:val="hybridMultilevel"/>
    <w:tmpl w:val="CAFCDB66"/>
    <w:lvl w:ilvl="0" w:tplc="6F6E3AB4">
      <w:start w:val="1"/>
      <w:numFmt w:val="lowerLetter"/>
      <w:lvlText w:val="%1)"/>
      <w:lvlJc w:val="left"/>
      <w:pPr>
        <w:ind w:left="360" w:hanging="360"/>
      </w:pPr>
      <w:rPr>
        <w:rFonts w:hint="default"/>
        <w:b/>
        <w:i/>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28D655E3"/>
    <w:multiLevelType w:val="hybridMultilevel"/>
    <w:tmpl w:val="7F6026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49A1786D"/>
    <w:multiLevelType w:val="hybridMultilevel"/>
    <w:tmpl w:val="95E8803C"/>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2280A05"/>
    <w:multiLevelType w:val="hybridMultilevel"/>
    <w:tmpl w:val="6518AD4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9600CA7"/>
    <w:multiLevelType w:val="hybridMultilevel"/>
    <w:tmpl w:val="0BC046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0"/>
  </w:num>
  <w:num w:numId="4">
    <w:abstractNumId w:val="6"/>
  </w:num>
  <w:num w:numId="5">
    <w:abstractNumId w:val="1"/>
  </w:num>
  <w:num w:numId="6">
    <w:abstractNumId w:val="4"/>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6A97"/>
    <w:rsid w:val="000000CD"/>
    <w:rsid w:val="00001732"/>
    <w:rsid w:val="000019DD"/>
    <w:rsid w:val="0002533A"/>
    <w:rsid w:val="00033F30"/>
    <w:rsid w:val="00043AAB"/>
    <w:rsid w:val="0004475E"/>
    <w:rsid w:val="00095C78"/>
    <w:rsid w:val="000D2747"/>
    <w:rsid w:val="00125B18"/>
    <w:rsid w:val="00155E07"/>
    <w:rsid w:val="0019072D"/>
    <w:rsid w:val="00196645"/>
    <w:rsid w:val="00196963"/>
    <w:rsid w:val="001A3093"/>
    <w:rsid w:val="001A7038"/>
    <w:rsid w:val="001C6A97"/>
    <w:rsid w:val="0020669D"/>
    <w:rsid w:val="00212E90"/>
    <w:rsid w:val="002610D0"/>
    <w:rsid w:val="002B06DD"/>
    <w:rsid w:val="002B45AC"/>
    <w:rsid w:val="002B6E29"/>
    <w:rsid w:val="002B7251"/>
    <w:rsid w:val="002E5B7B"/>
    <w:rsid w:val="00311FE9"/>
    <w:rsid w:val="003306B6"/>
    <w:rsid w:val="003520DF"/>
    <w:rsid w:val="00352E5F"/>
    <w:rsid w:val="003604EC"/>
    <w:rsid w:val="00377D00"/>
    <w:rsid w:val="0038097D"/>
    <w:rsid w:val="003B56BA"/>
    <w:rsid w:val="003E2110"/>
    <w:rsid w:val="00434AB1"/>
    <w:rsid w:val="004664F7"/>
    <w:rsid w:val="004D5D5C"/>
    <w:rsid w:val="00520E8C"/>
    <w:rsid w:val="005444B4"/>
    <w:rsid w:val="005A1E75"/>
    <w:rsid w:val="005B6DB7"/>
    <w:rsid w:val="005C63E3"/>
    <w:rsid w:val="005F2DAB"/>
    <w:rsid w:val="0060031B"/>
    <w:rsid w:val="00655E4C"/>
    <w:rsid w:val="00680708"/>
    <w:rsid w:val="006810CD"/>
    <w:rsid w:val="006B2020"/>
    <w:rsid w:val="00745F0D"/>
    <w:rsid w:val="007B24EF"/>
    <w:rsid w:val="007E3A38"/>
    <w:rsid w:val="008760BB"/>
    <w:rsid w:val="00893056"/>
    <w:rsid w:val="008A23B3"/>
    <w:rsid w:val="00902136"/>
    <w:rsid w:val="009A56C6"/>
    <w:rsid w:val="009D2641"/>
    <w:rsid w:val="00A1062D"/>
    <w:rsid w:val="00A25A74"/>
    <w:rsid w:val="00A714DE"/>
    <w:rsid w:val="00A955E2"/>
    <w:rsid w:val="00A9611C"/>
    <w:rsid w:val="00AB6A30"/>
    <w:rsid w:val="00AD6222"/>
    <w:rsid w:val="00B04527"/>
    <w:rsid w:val="00B45558"/>
    <w:rsid w:val="00BB2EDA"/>
    <w:rsid w:val="00BC1F19"/>
    <w:rsid w:val="00BF55D7"/>
    <w:rsid w:val="00C20046"/>
    <w:rsid w:val="00C33769"/>
    <w:rsid w:val="00CA6227"/>
    <w:rsid w:val="00CC2487"/>
    <w:rsid w:val="00CD709B"/>
    <w:rsid w:val="00CF182D"/>
    <w:rsid w:val="00CF1B13"/>
    <w:rsid w:val="00D0586C"/>
    <w:rsid w:val="00D161E4"/>
    <w:rsid w:val="00D426F5"/>
    <w:rsid w:val="00D65FFA"/>
    <w:rsid w:val="00DC5824"/>
    <w:rsid w:val="00DE108E"/>
    <w:rsid w:val="00E04082"/>
    <w:rsid w:val="00E112DE"/>
    <w:rsid w:val="00E57F31"/>
    <w:rsid w:val="00EB0B01"/>
    <w:rsid w:val="00EB19E5"/>
    <w:rsid w:val="00EC7CA4"/>
    <w:rsid w:val="00ED01C7"/>
    <w:rsid w:val="00EF24DD"/>
    <w:rsid w:val="00F570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AF2C4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6A97"/>
  </w:style>
  <w:style w:type="paragraph" w:styleId="Heading1">
    <w:name w:val="heading 1"/>
    <w:basedOn w:val="Normal"/>
    <w:next w:val="Normal"/>
    <w:link w:val="Heading1Char"/>
    <w:autoRedefine/>
    <w:qFormat/>
    <w:rsid w:val="005B6DB7"/>
    <w:pPr>
      <w:keepNext/>
      <w:spacing w:after="0" w:line="240" w:lineRule="auto"/>
      <w:ind w:left="705"/>
      <w:outlineLvl w:val="0"/>
    </w:pPr>
    <w:rPr>
      <w:rFonts w:ascii="Arial" w:eastAsia="Times New Roman" w:hAnsi="Arial" w:cs="Times New Roman"/>
      <w:sz w:val="20"/>
      <w:szCs w:val="20"/>
    </w:rPr>
  </w:style>
  <w:style w:type="paragraph" w:styleId="Heading2">
    <w:name w:val="heading 2"/>
    <w:basedOn w:val="Normal"/>
    <w:next w:val="Normal"/>
    <w:link w:val="Heading2Char"/>
    <w:uiPriority w:val="9"/>
    <w:unhideWhenUsed/>
    <w:qFormat/>
    <w:rsid w:val="00043AA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155E0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C6A9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C6A97"/>
    <w:rPr>
      <w:rFonts w:ascii="Segoe UI" w:hAnsi="Segoe UI" w:cs="Segoe UI"/>
      <w:sz w:val="18"/>
      <w:szCs w:val="18"/>
    </w:rPr>
  </w:style>
  <w:style w:type="character" w:styleId="Hyperlink">
    <w:name w:val="Hyperlink"/>
    <w:basedOn w:val="DefaultParagraphFont"/>
    <w:uiPriority w:val="99"/>
    <w:unhideWhenUsed/>
    <w:rsid w:val="00E04082"/>
    <w:rPr>
      <w:color w:val="0563C1" w:themeColor="hyperlink"/>
      <w:u w:val="single"/>
    </w:rPr>
  </w:style>
  <w:style w:type="character" w:styleId="FollowedHyperlink">
    <w:name w:val="FollowedHyperlink"/>
    <w:basedOn w:val="DefaultParagraphFont"/>
    <w:uiPriority w:val="99"/>
    <w:semiHidden/>
    <w:unhideWhenUsed/>
    <w:rsid w:val="00E04082"/>
    <w:rPr>
      <w:color w:val="954F72" w:themeColor="followedHyperlink"/>
      <w:u w:val="single"/>
    </w:rPr>
  </w:style>
  <w:style w:type="paragraph" w:styleId="NoSpacing">
    <w:name w:val="No Spacing"/>
    <w:uiPriority w:val="1"/>
    <w:qFormat/>
    <w:rsid w:val="00E04082"/>
    <w:pPr>
      <w:spacing w:after="0" w:line="240" w:lineRule="auto"/>
    </w:pPr>
  </w:style>
  <w:style w:type="paragraph" w:styleId="ListParagraph">
    <w:name w:val="List Paragraph"/>
    <w:basedOn w:val="Normal"/>
    <w:uiPriority w:val="1"/>
    <w:qFormat/>
    <w:rsid w:val="00311FE9"/>
    <w:pPr>
      <w:ind w:left="720"/>
      <w:contextualSpacing/>
    </w:pPr>
  </w:style>
  <w:style w:type="character" w:customStyle="1" w:styleId="Heading1Char">
    <w:name w:val="Heading 1 Char"/>
    <w:basedOn w:val="DefaultParagraphFont"/>
    <w:link w:val="Heading1"/>
    <w:rsid w:val="005B6DB7"/>
    <w:rPr>
      <w:rFonts w:ascii="Arial" w:eastAsia="Times New Roman" w:hAnsi="Arial" w:cs="Times New Roman"/>
      <w:sz w:val="20"/>
      <w:szCs w:val="20"/>
    </w:rPr>
  </w:style>
  <w:style w:type="paragraph" w:customStyle="1" w:styleId="DeptSchoolHeader">
    <w:name w:val="Dept/School Header"/>
    <w:basedOn w:val="Normal"/>
    <w:next w:val="Normal"/>
    <w:autoRedefine/>
    <w:rsid w:val="005B6DB7"/>
    <w:pPr>
      <w:spacing w:after="180" w:line="240" w:lineRule="auto"/>
      <w:ind w:left="131"/>
    </w:pPr>
    <w:rPr>
      <w:rFonts w:eastAsia="Times New Roman" w:cs="Times New Roman"/>
      <w:b/>
      <w:sz w:val="36"/>
      <w:szCs w:val="36"/>
    </w:rPr>
  </w:style>
  <w:style w:type="paragraph" w:customStyle="1" w:styleId="xmsonormal">
    <w:name w:val="x_msonormal"/>
    <w:basedOn w:val="Normal"/>
    <w:rsid w:val="00212E90"/>
    <w:pPr>
      <w:spacing w:after="0" w:line="240" w:lineRule="auto"/>
    </w:pPr>
    <w:rPr>
      <w:rFonts w:ascii="Calibri" w:hAnsi="Calibri" w:cs="Calibri"/>
      <w:lang w:val="en-US"/>
    </w:rPr>
  </w:style>
  <w:style w:type="character" w:customStyle="1" w:styleId="UnresolvedMention1">
    <w:name w:val="Unresolved Mention1"/>
    <w:basedOn w:val="DefaultParagraphFont"/>
    <w:uiPriority w:val="99"/>
    <w:semiHidden/>
    <w:unhideWhenUsed/>
    <w:rsid w:val="001A7038"/>
    <w:rPr>
      <w:color w:val="605E5C"/>
      <w:shd w:val="clear" w:color="auto" w:fill="E1DFDD"/>
    </w:rPr>
  </w:style>
  <w:style w:type="character" w:styleId="CommentReference">
    <w:name w:val="annotation reference"/>
    <w:basedOn w:val="DefaultParagraphFont"/>
    <w:uiPriority w:val="99"/>
    <w:semiHidden/>
    <w:unhideWhenUsed/>
    <w:rsid w:val="00680708"/>
    <w:rPr>
      <w:sz w:val="16"/>
      <w:szCs w:val="16"/>
    </w:rPr>
  </w:style>
  <w:style w:type="paragraph" w:styleId="CommentText">
    <w:name w:val="annotation text"/>
    <w:basedOn w:val="Normal"/>
    <w:link w:val="CommentTextChar"/>
    <w:uiPriority w:val="99"/>
    <w:semiHidden/>
    <w:unhideWhenUsed/>
    <w:rsid w:val="00680708"/>
    <w:pPr>
      <w:spacing w:line="240" w:lineRule="auto"/>
    </w:pPr>
    <w:rPr>
      <w:sz w:val="20"/>
      <w:szCs w:val="20"/>
    </w:rPr>
  </w:style>
  <w:style w:type="character" w:customStyle="1" w:styleId="CommentTextChar">
    <w:name w:val="Comment Text Char"/>
    <w:basedOn w:val="DefaultParagraphFont"/>
    <w:link w:val="CommentText"/>
    <w:uiPriority w:val="99"/>
    <w:semiHidden/>
    <w:rsid w:val="00680708"/>
    <w:rPr>
      <w:sz w:val="20"/>
      <w:szCs w:val="20"/>
    </w:rPr>
  </w:style>
  <w:style w:type="paragraph" w:styleId="CommentSubject">
    <w:name w:val="annotation subject"/>
    <w:basedOn w:val="CommentText"/>
    <w:next w:val="CommentText"/>
    <w:link w:val="CommentSubjectChar"/>
    <w:uiPriority w:val="99"/>
    <w:semiHidden/>
    <w:unhideWhenUsed/>
    <w:rsid w:val="00680708"/>
    <w:rPr>
      <w:b/>
      <w:bCs/>
    </w:rPr>
  </w:style>
  <w:style w:type="character" w:customStyle="1" w:styleId="CommentSubjectChar">
    <w:name w:val="Comment Subject Char"/>
    <w:basedOn w:val="CommentTextChar"/>
    <w:link w:val="CommentSubject"/>
    <w:uiPriority w:val="99"/>
    <w:semiHidden/>
    <w:rsid w:val="00680708"/>
    <w:rPr>
      <w:b/>
      <w:bCs/>
      <w:sz w:val="20"/>
      <w:szCs w:val="20"/>
    </w:rPr>
  </w:style>
  <w:style w:type="paragraph" w:styleId="NormalWeb">
    <w:name w:val="Normal (Web)"/>
    <w:basedOn w:val="Normal"/>
    <w:uiPriority w:val="99"/>
    <w:unhideWhenUsed/>
    <w:rsid w:val="001A3093"/>
    <w:pPr>
      <w:spacing w:after="0" w:line="240" w:lineRule="auto"/>
    </w:pPr>
    <w:rPr>
      <w:rFonts w:ascii="Times New Roman" w:hAnsi="Times New Roman" w:cs="Times New Roman"/>
      <w:sz w:val="24"/>
      <w:szCs w:val="24"/>
      <w:lang w:eastAsia="en-GB"/>
    </w:rPr>
  </w:style>
  <w:style w:type="character" w:customStyle="1" w:styleId="UnresolvedMention2">
    <w:name w:val="Unresolved Mention2"/>
    <w:basedOn w:val="DefaultParagraphFont"/>
    <w:uiPriority w:val="99"/>
    <w:semiHidden/>
    <w:unhideWhenUsed/>
    <w:rsid w:val="007B24EF"/>
    <w:rPr>
      <w:color w:val="605E5C"/>
      <w:shd w:val="clear" w:color="auto" w:fill="E1DFDD"/>
    </w:rPr>
  </w:style>
  <w:style w:type="character" w:customStyle="1" w:styleId="Heading2Char">
    <w:name w:val="Heading 2 Char"/>
    <w:basedOn w:val="DefaultParagraphFont"/>
    <w:link w:val="Heading2"/>
    <w:uiPriority w:val="9"/>
    <w:rsid w:val="00043AAB"/>
    <w:rPr>
      <w:rFonts w:asciiTheme="majorHAnsi" w:eastAsiaTheme="majorEastAsia" w:hAnsiTheme="majorHAnsi" w:cstheme="majorBidi"/>
      <w:color w:val="2E74B5" w:themeColor="accent1" w:themeShade="BF"/>
      <w:sz w:val="26"/>
      <w:szCs w:val="26"/>
    </w:rPr>
  </w:style>
  <w:style w:type="paragraph" w:styleId="Header">
    <w:name w:val="header"/>
    <w:basedOn w:val="Normal"/>
    <w:link w:val="HeaderChar"/>
    <w:uiPriority w:val="99"/>
    <w:unhideWhenUsed/>
    <w:rsid w:val="00033F30"/>
    <w:pPr>
      <w:tabs>
        <w:tab w:val="center" w:pos="4513"/>
        <w:tab w:val="right" w:pos="9026"/>
      </w:tabs>
      <w:spacing w:after="0" w:line="240" w:lineRule="auto"/>
    </w:pPr>
  </w:style>
  <w:style w:type="character" w:customStyle="1" w:styleId="HeaderChar">
    <w:name w:val="Header Char"/>
    <w:basedOn w:val="DefaultParagraphFont"/>
    <w:link w:val="Header"/>
    <w:uiPriority w:val="99"/>
    <w:rsid w:val="00033F30"/>
  </w:style>
  <w:style w:type="paragraph" w:styleId="Footer">
    <w:name w:val="footer"/>
    <w:basedOn w:val="Normal"/>
    <w:link w:val="FooterChar"/>
    <w:uiPriority w:val="99"/>
    <w:unhideWhenUsed/>
    <w:rsid w:val="00033F30"/>
    <w:pPr>
      <w:tabs>
        <w:tab w:val="center" w:pos="4513"/>
        <w:tab w:val="right" w:pos="9026"/>
      </w:tabs>
      <w:spacing w:after="0" w:line="240" w:lineRule="auto"/>
    </w:pPr>
  </w:style>
  <w:style w:type="character" w:customStyle="1" w:styleId="FooterChar">
    <w:name w:val="Footer Char"/>
    <w:basedOn w:val="DefaultParagraphFont"/>
    <w:link w:val="Footer"/>
    <w:uiPriority w:val="99"/>
    <w:rsid w:val="00033F30"/>
  </w:style>
  <w:style w:type="character" w:customStyle="1" w:styleId="Heading3Char">
    <w:name w:val="Heading 3 Char"/>
    <w:basedOn w:val="DefaultParagraphFont"/>
    <w:link w:val="Heading3"/>
    <w:uiPriority w:val="9"/>
    <w:semiHidden/>
    <w:rsid w:val="00155E07"/>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2589498">
      <w:bodyDiv w:val="1"/>
      <w:marLeft w:val="0"/>
      <w:marRight w:val="0"/>
      <w:marTop w:val="0"/>
      <w:marBottom w:val="0"/>
      <w:divBdr>
        <w:top w:val="none" w:sz="0" w:space="0" w:color="auto"/>
        <w:left w:val="none" w:sz="0" w:space="0" w:color="auto"/>
        <w:bottom w:val="none" w:sz="0" w:space="0" w:color="auto"/>
        <w:right w:val="none" w:sz="0" w:space="0" w:color="auto"/>
      </w:divBdr>
    </w:div>
    <w:div w:id="264196896">
      <w:bodyDiv w:val="1"/>
      <w:marLeft w:val="0"/>
      <w:marRight w:val="0"/>
      <w:marTop w:val="0"/>
      <w:marBottom w:val="0"/>
      <w:divBdr>
        <w:top w:val="none" w:sz="0" w:space="0" w:color="auto"/>
        <w:left w:val="none" w:sz="0" w:space="0" w:color="auto"/>
        <w:bottom w:val="none" w:sz="0" w:space="0" w:color="auto"/>
        <w:right w:val="none" w:sz="0" w:space="0" w:color="auto"/>
      </w:divBdr>
      <w:divsChild>
        <w:div w:id="1463423521">
          <w:marLeft w:val="0"/>
          <w:marRight w:val="0"/>
          <w:marTop w:val="0"/>
          <w:marBottom w:val="0"/>
          <w:divBdr>
            <w:top w:val="none" w:sz="0" w:space="0" w:color="auto"/>
            <w:left w:val="none" w:sz="0" w:space="0" w:color="auto"/>
            <w:bottom w:val="none" w:sz="0" w:space="0" w:color="auto"/>
            <w:right w:val="none" w:sz="0" w:space="0" w:color="auto"/>
          </w:divBdr>
          <w:divsChild>
            <w:div w:id="832376698">
              <w:marLeft w:val="0"/>
              <w:marRight w:val="0"/>
              <w:marTop w:val="0"/>
              <w:marBottom w:val="0"/>
              <w:divBdr>
                <w:top w:val="none" w:sz="0" w:space="0" w:color="auto"/>
                <w:left w:val="none" w:sz="0" w:space="0" w:color="auto"/>
                <w:bottom w:val="none" w:sz="0" w:space="0" w:color="auto"/>
                <w:right w:val="none" w:sz="0" w:space="0" w:color="auto"/>
              </w:divBdr>
              <w:divsChild>
                <w:div w:id="1091006426">
                  <w:marLeft w:val="0"/>
                  <w:marRight w:val="0"/>
                  <w:marTop w:val="0"/>
                  <w:marBottom w:val="0"/>
                  <w:divBdr>
                    <w:top w:val="none" w:sz="0" w:space="0" w:color="auto"/>
                    <w:left w:val="none" w:sz="0" w:space="0" w:color="auto"/>
                    <w:bottom w:val="none" w:sz="0" w:space="0" w:color="auto"/>
                    <w:right w:val="none" w:sz="0" w:space="0" w:color="auto"/>
                  </w:divBdr>
                  <w:divsChild>
                    <w:div w:id="282346916">
                      <w:marLeft w:val="0"/>
                      <w:marRight w:val="0"/>
                      <w:marTop w:val="0"/>
                      <w:marBottom w:val="0"/>
                      <w:divBdr>
                        <w:top w:val="none" w:sz="0" w:space="0" w:color="auto"/>
                        <w:left w:val="none" w:sz="0" w:space="0" w:color="auto"/>
                        <w:bottom w:val="none" w:sz="0" w:space="0" w:color="auto"/>
                        <w:right w:val="none" w:sz="0" w:space="0" w:color="auto"/>
                      </w:divBdr>
                      <w:divsChild>
                        <w:div w:id="305932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5400537">
      <w:bodyDiv w:val="1"/>
      <w:marLeft w:val="0"/>
      <w:marRight w:val="0"/>
      <w:marTop w:val="0"/>
      <w:marBottom w:val="0"/>
      <w:divBdr>
        <w:top w:val="none" w:sz="0" w:space="0" w:color="auto"/>
        <w:left w:val="none" w:sz="0" w:space="0" w:color="auto"/>
        <w:bottom w:val="none" w:sz="0" w:space="0" w:color="auto"/>
        <w:right w:val="none" w:sz="0" w:space="0" w:color="auto"/>
      </w:divBdr>
    </w:div>
    <w:div w:id="604506454">
      <w:bodyDiv w:val="1"/>
      <w:marLeft w:val="0"/>
      <w:marRight w:val="0"/>
      <w:marTop w:val="0"/>
      <w:marBottom w:val="0"/>
      <w:divBdr>
        <w:top w:val="none" w:sz="0" w:space="0" w:color="auto"/>
        <w:left w:val="none" w:sz="0" w:space="0" w:color="auto"/>
        <w:bottom w:val="none" w:sz="0" w:space="0" w:color="auto"/>
        <w:right w:val="none" w:sz="0" w:space="0" w:color="auto"/>
      </w:divBdr>
    </w:div>
    <w:div w:id="641352520">
      <w:bodyDiv w:val="1"/>
      <w:marLeft w:val="0"/>
      <w:marRight w:val="0"/>
      <w:marTop w:val="0"/>
      <w:marBottom w:val="0"/>
      <w:divBdr>
        <w:top w:val="none" w:sz="0" w:space="0" w:color="auto"/>
        <w:left w:val="none" w:sz="0" w:space="0" w:color="auto"/>
        <w:bottom w:val="none" w:sz="0" w:space="0" w:color="auto"/>
        <w:right w:val="none" w:sz="0" w:space="0" w:color="auto"/>
      </w:divBdr>
      <w:divsChild>
        <w:div w:id="811140561">
          <w:marLeft w:val="0"/>
          <w:marRight w:val="0"/>
          <w:marTop w:val="0"/>
          <w:marBottom w:val="0"/>
          <w:divBdr>
            <w:top w:val="none" w:sz="0" w:space="0" w:color="auto"/>
            <w:left w:val="none" w:sz="0" w:space="0" w:color="auto"/>
            <w:bottom w:val="none" w:sz="0" w:space="0" w:color="auto"/>
            <w:right w:val="none" w:sz="0" w:space="0" w:color="auto"/>
          </w:divBdr>
          <w:divsChild>
            <w:div w:id="152839395">
              <w:marLeft w:val="0"/>
              <w:marRight w:val="0"/>
              <w:marTop w:val="0"/>
              <w:marBottom w:val="0"/>
              <w:divBdr>
                <w:top w:val="none" w:sz="0" w:space="0" w:color="auto"/>
                <w:left w:val="none" w:sz="0" w:space="0" w:color="auto"/>
                <w:bottom w:val="none" w:sz="0" w:space="0" w:color="auto"/>
                <w:right w:val="none" w:sz="0" w:space="0" w:color="auto"/>
              </w:divBdr>
              <w:divsChild>
                <w:div w:id="1385442214">
                  <w:marLeft w:val="0"/>
                  <w:marRight w:val="0"/>
                  <w:marTop w:val="0"/>
                  <w:marBottom w:val="0"/>
                  <w:divBdr>
                    <w:top w:val="none" w:sz="0" w:space="0" w:color="auto"/>
                    <w:left w:val="none" w:sz="0" w:space="0" w:color="auto"/>
                    <w:bottom w:val="none" w:sz="0" w:space="0" w:color="auto"/>
                    <w:right w:val="none" w:sz="0" w:space="0" w:color="auto"/>
                  </w:divBdr>
                  <w:divsChild>
                    <w:div w:id="1417629220">
                      <w:marLeft w:val="0"/>
                      <w:marRight w:val="0"/>
                      <w:marTop w:val="0"/>
                      <w:marBottom w:val="0"/>
                      <w:divBdr>
                        <w:top w:val="none" w:sz="0" w:space="0" w:color="auto"/>
                        <w:left w:val="none" w:sz="0" w:space="0" w:color="auto"/>
                        <w:bottom w:val="none" w:sz="0" w:space="0" w:color="auto"/>
                        <w:right w:val="none" w:sz="0" w:space="0" w:color="auto"/>
                      </w:divBdr>
                      <w:divsChild>
                        <w:div w:id="507643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7592634">
      <w:bodyDiv w:val="1"/>
      <w:marLeft w:val="0"/>
      <w:marRight w:val="0"/>
      <w:marTop w:val="0"/>
      <w:marBottom w:val="0"/>
      <w:divBdr>
        <w:top w:val="none" w:sz="0" w:space="0" w:color="auto"/>
        <w:left w:val="none" w:sz="0" w:space="0" w:color="auto"/>
        <w:bottom w:val="none" w:sz="0" w:space="0" w:color="auto"/>
        <w:right w:val="none" w:sz="0" w:space="0" w:color="auto"/>
      </w:divBdr>
    </w:div>
    <w:div w:id="929041149">
      <w:bodyDiv w:val="1"/>
      <w:marLeft w:val="0"/>
      <w:marRight w:val="0"/>
      <w:marTop w:val="0"/>
      <w:marBottom w:val="0"/>
      <w:divBdr>
        <w:top w:val="none" w:sz="0" w:space="0" w:color="auto"/>
        <w:left w:val="none" w:sz="0" w:space="0" w:color="auto"/>
        <w:bottom w:val="none" w:sz="0" w:space="0" w:color="auto"/>
        <w:right w:val="none" w:sz="0" w:space="0" w:color="auto"/>
      </w:divBdr>
    </w:div>
    <w:div w:id="937641208">
      <w:bodyDiv w:val="1"/>
      <w:marLeft w:val="0"/>
      <w:marRight w:val="0"/>
      <w:marTop w:val="0"/>
      <w:marBottom w:val="0"/>
      <w:divBdr>
        <w:top w:val="none" w:sz="0" w:space="0" w:color="auto"/>
        <w:left w:val="none" w:sz="0" w:space="0" w:color="auto"/>
        <w:bottom w:val="none" w:sz="0" w:space="0" w:color="auto"/>
        <w:right w:val="none" w:sz="0" w:space="0" w:color="auto"/>
      </w:divBdr>
    </w:div>
    <w:div w:id="1165247467">
      <w:bodyDiv w:val="1"/>
      <w:marLeft w:val="0"/>
      <w:marRight w:val="0"/>
      <w:marTop w:val="0"/>
      <w:marBottom w:val="0"/>
      <w:divBdr>
        <w:top w:val="none" w:sz="0" w:space="0" w:color="auto"/>
        <w:left w:val="none" w:sz="0" w:space="0" w:color="auto"/>
        <w:bottom w:val="none" w:sz="0" w:space="0" w:color="auto"/>
        <w:right w:val="none" w:sz="0" w:space="0" w:color="auto"/>
      </w:divBdr>
    </w:div>
    <w:div w:id="1259096915">
      <w:bodyDiv w:val="1"/>
      <w:marLeft w:val="0"/>
      <w:marRight w:val="0"/>
      <w:marTop w:val="0"/>
      <w:marBottom w:val="0"/>
      <w:divBdr>
        <w:top w:val="none" w:sz="0" w:space="0" w:color="auto"/>
        <w:left w:val="none" w:sz="0" w:space="0" w:color="auto"/>
        <w:bottom w:val="none" w:sz="0" w:space="0" w:color="auto"/>
        <w:right w:val="none" w:sz="0" w:space="0" w:color="auto"/>
      </w:divBdr>
    </w:div>
    <w:div w:id="1263761589">
      <w:bodyDiv w:val="1"/>
      <w:marLeft w:val="0"/>
      <w:marRight w:val="0"/>
      <w:marTop w:val="0"/>
      <w:marBottom w:val="0"/>
      <w:divBdr>
        <w:top w:val="none" w:sz="0" w:space="0" w:color="auto"/>
        <w:left w:val="none" w:sz="0" w:space="0" w:color="auto"/>
        <w:bottom w:val="none" w:sz="0" w:space="0" w:color="auto"/>
        <w:right w:val="none" w:sz="0" w:space="0" w:color="auto"/>
      </w:divBdr>
    </w:div>
    <w:div w:id="2016152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dap.qub.ac.uk/portal/user/u_login.php"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dealingwiththepastni.com/" TargetMode="External"/><Relationship Id="rId17" Type="http://schemas.openxmlformats.org/officeDocument/2006/relationships/hyperlink" Target="mailto:a.bryson@qub.ac.uk" TargetMode="External"/><Relationship Id="rId2" Type="http://schemas.openxmlformats.org/officeDocument/2006/relationships/customXml" Target="../customXml/item2.xml"/><Relationship Id="rId16" Type="http://schemas.openxmlformats.org/officeDocument/2006/relationships/hyperlink" Target="mailto:k.mcevoy@qub.ac.uk"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nidirect.gov.uk/articles/department-economy-studentships%20" TargetMode="External"/><Relationship Id="rId5" Type="http://schemas.openxmlformats.org/officeDocument/2006/relationships/styles" Target="styles.xml"/><Relationship Id="rId15" Type="http://schemas.openxmlformats.org/officeDocument/2006/relationships/hyperlink" Target="https://www.nidirect.gov.uk/articles/department-economy-studentships%20" TargetMode="Externa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nidirect.gov.uk/articles/department-economy-studentships%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6406AF6E899A443B088CBB235517035" ma:contentTypeVersion="14" ma:contentTypeDescription="Create a new document." ma:contentTypeScope="" ma:versionID="027ee08c7c375586808f2fcabd0229a7">
  <xsd:schema xmlns:xsd="http://www.w3.org/2001/XMLSchema" xmlns:xs="http://www.w3.org/2001/XMLSchema" xmlns:p="http://schemas.microsoft.com/office/2006/metadata/properties" xmlns:ns3="4a7669a9-a011-4939-9a62-ac1a8914829f" xmlns:ns4="c51ce0d9-b5e0-4520-89e9-ff5f84fa91bb" targetNamespace="http://schemas.microsoft.com/office/2006/metadata/properties" ma:root="true" ma:fieldsID="deaf600460b4d749a9064fc1f99af56d" ns3:_="" ns4:_="">
    <xsd:import namespace="4a7669a9-a011-4939-9a62-ac1a8914829f"/>
    <xsd:import namespace="c51ce0d9-b5e0-4520-89e9-ff5f84fa91b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7669a9-a011-4939-9a62-ac1a891482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1ce0d9-b5e0-4520-89e9-ff5f84fa91b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F8935FA-E47B-4F2A-833C-D183273F017A}">
  <ds:schemaRefs>
    <ds:schemaRef ds:uri="http://schemas.microsoft.com/office/2006/documentManagement/types"/>
    <ds:schemaRef ds:uri="http://purl.org/dc/dcmitype/"/>
    <ds:schemaRef ds:uri="http://www.w3.org/XML/1998/namespace"/>
    <ds:schemaRef ds:uri="http://purl.org/dc/elements/1.1/"/>
    <ds:schemaRef ds:uri="http://schemas.microsoft.com/office/2006/metadata/properties"/>
    <ds:schemaRef ds:uri="4a7669a9-a011-4939-9a62-ac1a8914829f"/>
    <ds:schemaRef ds:uri="http://schemas.openxmlformats.org/package/2006/metadata/core-properties"/>
    <ds:schemaRef ds:uri="http://purl.org/dc/terms/"/>
    <ds:schemaRef ds:uri="http://schemas.microsoft.com/office/infopath/2007/PartnerControls"/>
    <ds:schemaRef ds:uri="c51ce0d9-b5e0-4520-89e9-ff5f84fa91bb"/>
  </ds:schemaRefs>
</ds:datastoreItem>
</file>

<file path=customXml/itemProps2.xml><?xml version="1.0" encoding="utf-8"?>
<ds:datastoreItem xmlns:ds="http://schemas.openxmlformats.org/officeDocument/2006/customXml" ds:itemID="{EA7089F7-1067-4868-A65A-80310484F6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7669a9-a011-4939-9a62-ac1a8914829f"/>
    <ds:schemaRef ds:uri="c51ce0d9-b5e0-4520-89e9-ff5f84fa91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BECB0CE-C6E0-4B28-88F8-8B4EEE5997C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1709</Words>
  <Characters>9742</Characters>
  <Application>Microsoft Office Word</Application>
  <DocSecurity>4</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2019-03-22T10:19:00Z</cp:lastPrinted>
  <dcterms:created xsi:type="dcterms:W3CDTF">2022-03-10T09:01:00Z</dcterms:created>
  <dcterms:modified xsi:type="dcterms:W3CDTF">2022-03-10T09:01:00Z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0x01010006406AF6E899A443B088CBB235517035</vt:lpwstr>
  </property>
</Properties>
</file>